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ascii="宋体" w:hAnsi="宋体" w:eastAsia="宋体" w:cs="Times New Roman"/>
          <w:b/>
          <w:bCs/>
          <w:color w:val="000000"/>
          <w:sz w:val="32"/>
          <w:szCs w:val="32"/>
          <w:highlight w:val="none"/>
        </w:rPr>
      </w:pPr>
    </w:p>
    <w:p>
      <w:pPr>
        <w:spacing w:line="700" w:lineRule="exact"/>
        <w:jc w:val="center"/>
        <w:rPr>
          <w:rFonts w:hint="eastAsia" w:ascii="宋体" w:hAnsi="宋体" w:eastAsia="宋体" w:cs="Times New Roman"/>
          <w:b/>
          <w:bCs/>
          <w:color w:val="000000"/>
          <w:sz w:val="48"/>
          <w:szCs w:val="48"/>
          <w:highlight w:val="none"/>
        </w:rPr>
      </w:pPr>
      <w:r>
        <w:rPr>
          <w:rFonts w:hint="eastAsia" w:ascii="宋体" w:hAnsi="宋体" w:eastAsia="宋体" w:cs="Times New Roman"/>
          <w:b/>
          <w:bCs/>
          <w:color w:val="000000"/>
          <w:sz w:val="48"/>
          <w:szCs w:val="48"/>
          <w:highlight w:val="none"/>
        </w:rPr>
        <w:t>中垦牧（陕西）牧业有限公司</w:t>
      </w:r>
    </w:p>
    <w:p>
      <w:pPr>
        <w:spacing w:line="700" w:lineRule="exact"/>
        <w:jc w:val="center"/>
        <w:rPr>
          <w:rFonts w:hint="eastAsia" w:ascii="宋体" w:hAnsi="宋体" w:eastAsia="宋体" w:cs="Times New Roman"/>
          <w:b/>
          <w:bCs/>
          <w:color w:val="000000"/>
          <w:sz w:val="48"/>
          <w:szCs w:val="48"/>
          <w:highlight w:val="none"/>
        </w:rPr>
      </w:pPr>
    </w:p>
    <w:p>
      <w:pPr>
        <w:jc w:val="center"/>
        <w:rPr>
          <w:rFonts w:ascii="黑体" w:hAnsi="Times New Roman" w:eastAsia="黑体" w:cs="Times New Roman"/>
          <w:b/>
          <w:sz w:val="48"/>
          <w:szCs w:val="48"/>
          <w:highlight w:val="none"/>
        </w:rPr>
      </w:pPr>
    </w:p>
    <w:p>
      <w:pPr>
        <w:ind w:firstLine="3697" w:firstLineChars="837"/>
        <w:rPr>
          <w:rFonts w:ascii="黑体" w:hAnsi="Times New Roman" w:eastAsia="黑体" w:cs="Times New Roman"/>
          <w:b/>
          <w:sz w:val="44"/>
          <w:szCs w:val="44"/>
          <w:highlight w:val="none"/>
        </w:rPr>
      </w:pPr>
    </w:p>
    <w:p>
      <w:pPr>
        <w:spacing w:line="700" w:lineRule="exact"/>
        <w:jc w:val="center"/>
        <w:rPr>
          <w:rFonts w:hint="eastAsia" w:ascii="宋体" w:hAnsi="宋体" w:eastAsia="宋体" w:cs="Times New Roman"/>
          <w:b/>
          <w:color w:val="000000"/>
          <w:sz w:val="52"/>
          <w:szCs w:val="52"/>
          <w:highlight w:val="none"/>
        </w:rPr>
      </w:pPr>
      <w:r>
        <w:rPr>
          <w:rFonts w:hint="eastAsia" w:ascii="宋体" w:hAnsi="宋体" w:eastAsia="宋体" w:cs="Times New Roman"/>
          <w:b/>
          <w:color w:val="000000"/>
          <w:sz w:val="52"/>
          <w:szCs w:val="52"/>
          <w:highlight w:val="none"/>
          <w:lang w:val="en-US" w:eastAsia="zh-CN"/>
        </w:rPr>
        <w:t>竞争性</w:t>
      </w:r>
      <w:r>
        <w:rPr>
          <w:rFonts w:hint="eastAsia" w:ascii="宋体" w:hAnsi="宋体" w:eastAsia="宋体" w:cs="Times New Roman"/>
          <w:b/>
          <w:color w:val="000000"/>
          <w:sz w:val="52"/>
          <w:szCs w:val="52"/>
          <w:highlight w:val="none"/>
        </w:rPr>
        <w:t>比选文件</w:t>
      </w:r>
    </w:p>
    <w:p>
      <w:pPr>
        <w:rPr>
          <w:rFonts w:ascii="黑体" w:hAnsi="Times New Roman" w:eastAsia="黑体" w:cs="Times New Roman"/>
          <w:b/>
          <w:sz w:val="44"/>
          <w:szCs w:val="44"/>
          <w:highlight w:val="none"/>
        </w:rPr>
      </w:pPr>
    </w:p>
    <w:p>
      <w:pPr>
        <w:ind w:firstLine="3697" w:firstLineChars="837"/>
        <w:rPr>
          <w:rFonts w:ascii="黑体" w:hAnsi="Times New Roman" w:eastAsia="黑体" w:cs="Times New Roman"/>
          <w:b/>
          <w:sz w:val="44"/>
          <w:szCs w:val="44"/>
          <w:highlight w:val="none"/>
        </w:rPr>
      </w:pPr>
    </w:p>
    <w:p>
      <w:pPr>
        <w:spacing w:line="700" w:lineRule="exact"/>
        <w:ind w:left="1600" w:hanging="1600" w:hangingChars="500"/>
        <w:jc w:val="left"/>
        <w:rPr>
          <w:rFonts w:hint="eastAsia" w:ascii="宋体" w:hAnsi="宋体" w:eastAsia="宋体" w:cs="Times New Roman"/>
          <w:color w:val="000000"/>
          <w:sz w:val="32"/>
          <w:szCs w:val="32"/>
          <w:highlight w:val="none"/>
        </w:rPr>
      </w:pPr>
    </w:p>
    <w:p>
      <w:pPr>
        <w:spacing w:line="700" w:lineRule="exact"/>
        <w:ind w:left="1600" w:hanging="1600" w:hangingChars="500"/>
        <w:jc w:val="left"/>
        <w:rPr>
          <w:rFonts w:hint="eastAsia" w:ascii="宋体" w:hAnsi="宋体" w:eastAsia="宋体" w:cs="Times New Roman"/>
          <w:color w:val="000000"/>
          <w:sz w:val="32"/>
          <w:szCs w:val="32"/>
          <w:highlight w:val="none"/>
        </w:rPr>
      </w:pPr>
      <w:r>
        <w:rPr>
          <w:rFonts w:hint="eastAsia" w:ascii="宋体" w:hAnsi="宋体" w:eastAsia="宋体" w:cs="Times New Roman"/>
          <w:color w:val="000000"/>
          <w:sz w:val="32"/>
          <w:szCs w:val="32"/>
          <w:highlight w:val="none"/>
        </w:rPr>
        <w:t>项目名称：</w:t>
      </w:r>
      <w:r>
        <w:rPr>
          <w:rFonts w:hint="eastAsia" w:ascii="宋体" w:hAnsi="宋体" w:eastAsia="宋体" w:cs="Times New Roman"/>
          <w:color w:val="000000"/>
          <w:sz w:val="32"/>
          <w:szCs w:val="32"/>
          <w:highlight w:val="none"/>
          <w:lang w:val="en-US" w:eastAsia="zh-CN"/>
        </w:rPr>
        <w:t>大荔牧场</w:t>
      </w:r>
      <w:r>
        <w:rPr>
          <w:rFonts w:hint="eastAsia" w:ascii="宋体" w:hAnsi="宋体" w:eastAsia="宋体" w:cs="Times New Roman"/>
          <w:color w:val="000000"/>
          <w:sz w:val="32"/>
          <w:szCs w:val="32"/>
          <w:highlight w:val="none"/>
        </w:rPr>
        <w:t>卸料及倒料劳务外包项目</w:t>
      </w:r>
    </w:p>
    <w:p>
      <w:pPr>
        <w:spacing w:line="700" w:lineRule="exact"/>
        <w:ind w:left="1600" w:hanging="1600" w:hangingChars="500"/>
        <w:jc w:val="left"/>
        <w:rPr>
          <w:rFonts w:hint="eastAsia" w:ascii="宋体" w:hAnsi="宋体" w:eastAsia="宋体" w:cs="Times New Roman"/>
          <w:color w:val="000000"/>
          <w:sz w:val="32"/>
          <w:szCs w:val="32"/>
          <w:highlight w:val="none"/>
        </w:rPr>
      </w:pPr>
    </w:p>
    <w:p>
      <w:pPr>
        <w:spacing w:line="700" w:lineRule="exact"/>
        <w:rPr>
          <w:rFonts w:hint="eastAsia" w:ascii="宋体" w:hAnsi="宋体" w:eastAsia="宋体" w:cs="Times New Roman"/>
          <w:color w:val="000000"/>
          <w:sz w:val="32"/>
          <w:szCs w:val="32"/>
          <w:highlight w:val="none"/>
        </w:rPr>
      </w:pPr>
      <w:r>
        <w:rPr>
          <w:rFonts w:hint="eastAsia" w:ascii="宋体" w:hAnsi="宋体" w:eastAsia="宋体" w:cs="Times New Roman"/>
          <w:color w:val="000000"/>
          <w:sz w:val="32"/>
          <w:szCs w:val="32"/>
          <w:highlight w:val="none"/>
        </w:rPr>
        <w:t>招标单位：中垦牧（陕西）牧业有限公司</w:t>
      </w:r>
    </w:p>
    <w:p>
      <w:pPr>
        <w:spacing w:line="700" w:lineRule="exact"/>
        <w:rPr>
          <w:rFonts w:hint="eastAsia" w:ascii="宋体" w:hAnsi="宋体" w:eastAsia="宋体" w:cs="Times New Roman"/>
          <w:color w:val="000000"/>
          <w:sz w:val="30"/>
          <w:szCs w:val="30"/>
          <w:highlight w:val="none"/>
        </w:rPr>
      </w:pPr>
    </w:p>
    <w:p>
      <w:pPr>
        <w:spacing w:line="700" w:lineRule="exact"/>
        <w:rPr>
          <w:rFonts w:hint="eastAsia" w:ascii="宋体" w:hAnsi="宋体" w:eastAsia="宋体" w:cs="Times New Roman"/>
          <w:color w:val="000000"/>
          <w:sz w:val="30"/>
          <w:szCs w:val="30"/>
          <w:highlight w:val="none"/>
        </w:rPr>
      </w:pPr>
    </w:p>
    <w:p>
      <w:pPr>
        <w:spacing w:line="700" w:lineRule="exact"/>
        <w:jc w:val="center"/>
        <w:rPr>
          <w:rFonts w:hint="eastAsia" w:ascii="宋体" w:hAnsi="宋体" w:eastAsia="宋体" w:cs="Times New Roman"/>
          <w:sz w:val="32"/>
          <w:szCs w:val="32"/>
          <w:highlight w:val="none"/>
        </w:rPr>
      </w:pPr>
      <w:r>
        <w:rPr>
          <w:rFonts w:hint="eastAsia" w:ascii="宋体" w:hAnsi="宋体" w:eastAsia="宋体" w:cs="Times New Roman"/>
          <w:sz w:val="32"/>
          <w:szCs w:val="32"/>
          <w:highlight w:val="none"/>
        </w:rPr>
        <w:t>二○二</w:t>
      </w:r>
      <w:r>
        <w:rPr>
          <w:rFonts w:hint="eastAsia" w:ascii="宋体" w:hAnsi="宋体" w:eastAsia="宋体" w:cs="Times New Roman"/>
          <w:sz w:val="32"/>
          <w:szCs w:val="32"/>
          <w:highlight w:val="none"/>
          <w:lang w:val="en-US" w:eastAsia="zh-CN"/>
        </w:rPr>
        <w:t>六</w:t>
      </w:r>
      <w:r>
        <w:rPr>
          <w:rFonts w:hint="eastAsia" w:ascii="宋体" w:hAnsi="宋体" w:eastAsia="宋体" w:cs="Times New Roman"/>
          <w:sz w:val="32"/>
          <w:szCs w:val="32"/>
          <w:highlight w:val="none"/>
        </w:rPr>
        <w:t>年三月</w:t>
      </w:r>
      <w:r>
        <w:rPr>
          <w:rFonts w:hint="eastAsia" w:ascii="宋体" w:hAnsi="宋体" w:eastAsia="宋体" w:cs="Times New Roman"/>
          <w:sz w:val="32"/>
          <w:szCs w:val="32"/>
          <w:highlight w:val="none"/>
          <w:lang w:val="en-US" w:eastAsia="zh-CN"/>
        </w:rPr>
        <w:t>十一</w:t>
      </w:r>
      <w:r>
        <w:rPr>
          <w:rFonts w:hint="eastAsia" w:ascii="宋体" w:hAnsi="宋体" w:eastAsia="宋体" w:cs="Times New Roman"/>
          <w:sz w:val="32"/>
          <w:szCs w:val="32"/>
          <w:highlight w:val="none"/>
        </w:rPr>
        <w:t>日</w:t>
      </w:r>
    </w:p>
    <w:p>
      <w:pPr>
        <w:spacing w:line="360" w:lineRule="auto"/>
        <w:jc w:val="center"/>
        <w:outlineLvl w:val="0"/>
        <w:rPr>
          <w:rFonts w:ascii="Times New Roman" w:hAnsi="Times New Roman" w:eastAsia="宋体" w:cs="Times New Roman"/>
          <w:b/>
          <w:color w:val="000000"/>
          <w:sz w:val="24"/>
          <w:szCs w:val="24"/>
          <w:highlight w:val="none"/>
        </w:rPr>
      </w:pPr>
    </w:p>
    <w:p>
      <w:pPr>
        <w:spacing w:line="700" w:lineRule="exact"/>
        <w:ind w:left="1506" w:hanging="1506" w:hangingChars="500"/>
        <w:jc w:val="center"/>
        <w:rPr>
          <w:rFonts w:hint="eastAsia" w:ascii="Times New Roman" w:hAnsi="Times New Roman" w:cs="Times New Roman"/>
          <w:b/>
          <w:color w:val="000000"/>
          <w:sz w:val="30"/>
          <w:szCs w:val="30"/>
          <w:highlight w:val="none"/>
        </w:rPr>
      </w:pPr>
      <w:bookmarkStart w:id="0" w:name="OLE_LINK1"/>
      <w:bookmarkStart w:id="1" w:name="_Toc197925840"/>
    </w:p>
    <w:p>
      <w:pPr>
        <w:spacing w:line="700" w:lineRule="exact"/>
        <w:ind w:left="1506" w:hanging="1506" w:hangingChars="500"/>
        <w:jc w:val="center"/>
        <w:rPr>
          <w:rFonts w:ascii="Times New Roman" w:hAnsi="Times New Roman" w:cs="Times New Roman"/>
          <w:b/>
          <w:color w:val="000000"/>
          <w:sz w:val="30"/>
          <w:szCs w:val="30"/>
          <w:highlight w:val="none"/>
        </w:rPr>
      </w:pPr>
      <w:r>
        <w:rPr>
          <w:rFonts w:hint="eastAsia" w:ascii="Times New Roman" w:hAnsi="Times New Roman" w:cs="Times New Roman"/>
          <w:b/>
          <w:color w:val="000000"/>
          <w:sz w:val="30"/>
          <w:szCs w:val="30"/>
          <w:highlight w:val="none"/>
        </w:rPr>
        <w:t>中垦牧（陕西）牧业有限公司</w:t>
      </w:r>
    </w:p>
    <w:p>
      <w:pPr>
        <w:spacing w:line="700" w:lineRule="exact"/>
        <w:ind w:left="1506" w:hanging="1506" w:hangingChars="500"/>
        <w:jc w:val="center"/>
        <w:rPr>
          <w:rFonts w:ascii="Times New Roman" w:hAnsi="Times New Roman" w:eastAsia="宋体" w:cs="Times New Roman"/>
          <w:b/>
          <w:color w:val="000000"/>
          <w:sz w:val="30"/>
          <w:szCs w:val="30"/>
          <w:highlight w:val="none"/>
        </w:rPr>
      </w:pPr>
      <w:r>
        <w:rPr>
          <w:rFonts w:hint="eastAsia" w:ascii="Times New Roman" w:hAnsi="Times New Roman" w:cs="Times New Roman"/>
          <w:b/>
          <w:color w:val="000000"/>
          <w:sz w:val="30"/>
          <w:szCs w:val="30"/>
          <w:highlight w:val="none"/>
        </w:rPr>
        <w:t>大荔</w:t>
      </w:r>
      <w:r>
        <w:rPr>
          <w:rFonts w:hint="eastAsia" w:ascii="Times New Roman" w:hAnsi="Times New Roman" w:cs="Times New Roman"/>
          <w:b/>
          <w:color w:val="000000"/>
          <w:sz w:val="30"/>
          <w:szCs w:val="30"/>
          <w:highlight w:val="none"/>
          <w:lang w:val="en-US" w:eastAsia="zh-CN"/>
        </w:rPr>
        <w:t>牧场</w:t>
      </w:r>
      <w:r>
        <w:rPr>
          <w:rFonts w:hint="eastAsia" w:ascii="Times New Roman" w:hAnsi="Times New Roman" w:cs="Times New Roman"/>
          <w:b/>
          <w:color w:val="000000"/>
          <w:sz w:val="30"/>
          <w:szCs w:val="30"/>
          <w:highlight w:val="none"/>
        </w:rPr>
        <w:t>卸料及倒料劳务外包项目比选公告</w:t>
      </w:r>
    </w:p>
    <w:p>
      <w:pPr>
        <w:tabs>
          <w:tab w:val="left" w:pos="879"/>
        </w:tabs>
        <w:autoSpaceDE w:val="0"/>
        <w:autoSpaceDN w:val="0"/>
        <w:adjustRightInd w:val="0"/>
        <w:spacing w:line="360" w:lineRule="auto"/>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各参选单位：</w:t>
      </w:r>
    </w:p>
    <w:p>
      <w:pPr>
        <w:tabs>
          <w:tab w:val="left" w:pos="879"/>
        </w:tabs>
        <w:autoSpaceDE w:val="0"/>
        <w:autoSpaceDN w:val="0"/>
        <w:adjustRightInd w:val="0"/>
        <w:spacing w:line="360" w:lineRule="auto"/>
        <w:ind w:firstLine="480" w:firstLineChars="200"/>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中垦牧（陕西）牧业有限公司对</w:t>
      </w:r>
      <w:r>
        <w:rPr>
          <w:rFonts w:hint="eastAsia" w:ascii="新宋体" w:hAnsi="新宋体" w:eastAsia="新宋体" w:cs="新宋体"/>
          <w:kern w:val="0"/>
          <w:sz w:val="24"/>
          <w:szCs w:val="24"/>
          <w:highlight w:val="none"/>
          <w:lang w:val="en-US" w:eastAsia="zh-CN"/>
        </w:rPr>
        <w:t>大荔牧场</w:t>
      </w:r>
      <w:r>
        <w:rPr>
          <w:rFonts w:hint="eastAsia" w:ascii="新宋体" w:hAnsi="新宋体" w:eastAsia="新宋体" w:cs="新宋体"/>
          <w:kern w:val="0"/>
          <w:sz w:val="24"/>
          <w:szCs w:val="24"/>
          <w:highlight w:val="none"/>
        </w:rPr>
        <w:t>卸料及倒料劳务外包</w:t>
      </w:r>
      <w:r>
        <w:rPr>
          <w:rFonts w:hint="eastAsia" w:ascii="新宋体" w:hAnsi="新宋体" w:eastAsia="新宋体" w:cs="新宋体"/>
          <w:kern w:val="0"/>
          <w:sz w:val="24"/>
          <w:szCs w:val="24"/>
          <w:highlight w:val="none"/>
          <w:lang w:val="en-US" w:eastAsia="zh-CN"/>
        </w:rPr>
        <w:t>项目</w:t>
      </w:r>
      <w:r>
        <w:rPr>
          <w:rFonts w:hint="eastAsia" w:ascii="新宋体" w:hAnsi="新宋体" w:eastAsia="新宋体" w:cs="新宋体"/>
          <w:kern w:val="0"/>
          <w:sz w:val="24"/>
          <w:szCs w:val="24"/>
          <w:highlight w:val="none"/>
        </w:rPr>
        <w:t>进行公开比选，诚挚邀请有意愿的参选单位参与，项目具体事项详见如下：</w:t>
      </w:r>
    </w:p>
    <w:p>
      <w:pPr>
        <w:spacing w:line="360" w:lineRule="auto"/>
        <w:ind w:firstLine="482" w:firstLineChars="200"/>
        <w:rPr>
          <w:rFonts w:hint="eastAsia" w:ascii="宋体" w:hAnsi="宋体" w:eastAsia="宋体" w:cs="Times New Roman"/>
          <w:b/>
          <w:color w:val="000000"/>
          <w:sz w:val="24"/>
          <w:szCs w:val="24"/>
          <w:highlight w:val="none"/>
          <w:lang w:val="zh-CN"/>
        </w:rPr>
      </w:pPr>
      <w:r>
        <w:rPr>
          <w:rFonts w:hint="eastAsia" w:ascii="宋体" w:hAnsi="宋体" w:eastAsia="宋体" w:cs="Times New Roman"/>
          <w:b/>
          <w:color w:val="000000"/>
          <w:sz w:val="24"/>
          <w:szCs w:val="24"/>
          <w:highlight w:val="none"/>
        </w:rPr>
        <w:t>一、招标</w:t>
      </w:r>
      <w:r>
        <w:rPr>
          <w:rFonts w:hint="eastAsia" w:ascii="宋体" w:hAnsi="宋体" w:eastAsia="宋体" w:cs="Times New Roman"/>
          <w:b/>
          <w:color w:val="000000"/>
          <w:sz w:val="24"/>
          <w:szCs w:val="24"/>
          <w:highlight w:val="none"/>
          <w:lang w:val="zh-CN"/>
        </w:rPr>
        <w:t>单位</w:t>
      </w:r>
    </w:p>
    <w:p>
      <w:pPr>
        <w:tabs>
          <w:tab w:val="left" w:pos="2975"/>
          <w:tab w:val="left" w:pos="3400"/>
          <w:tab w:val="left" w:pos="3825"/>
          <w:tab w:val="left" w:pos="4250"/>
          <w:tab w:val="left" w:pos="6195"/>
        </w:tabs>
        <w:spacing w:line="360" w:lineRule="auto"/>
        <w:ind w:firstLine="480" w:firstLineChars="200"/>
        <w:rPr>
          <w:rFonts w:hint="eastAsia" w:ascii="宋体" w:hAnsi="宋体" w:eastAsia="宋体" w:cs="Times New Roman"/>
          <w:sz w:val="24"/>
          <w:szCs w:val="24"/>
          <w:highlight w:val="none"/>
          <w:lang w:val="zh-CN"/>
        </w:rPr>
      </w:pPr>
      <w:r>
        <w:rPr>
          <w:rFonts w:hint="eastAsia" w:ascii="宋体" w:hAnsi="宋体" w:eastAsia="宋体" w:cs="Times New Roman"/>
          <w:sz w:val="24"/>
          <w:szCs w:val="24"/>
          <w:highlight w:val="none"/>
        </w:rPr>
        <w:t>单位名称：</w:t>
      </w:r>
      <w:r>
        <w:rPr>
          <w:rFonts w:hint="eastAsia" w:ascii="宋体" w:hAnsi="宋体" w:eastAsia="宋体" w:cs="Times New Roman"/>
          <w:sz w:val="24"/>
          <w:szCs w:val="24"/>
          <w:highlight w:val="none"/>
          <w:lang w:val="zh-CN"/>
        </w:rPr>
        <w:t>中垦牧（陕西）牧业有限公司。</w:t>
      </w:r>
    </w:p>
    <w:p>
      <w:pPr>
        <w:tabs>
          <w:tab w:val="left" w:pos="2975"/>
          <w:tab w:val="left" w:pos="3400"/>
          <w:tab w:val="left" w:pos="3825"/>
          <w:tab w:val="left" w:pos="4250"/>
          <w:tab w:val="left" w:pos="6195"/>
        </w:tabs>
        <w:spacing w:line="360" w:lineRule="auto"/>
        <w:ind w:firstLine="480" w:firstLineChars="200"/>
        <w:rPr>
          <w:rFonts w:hint="eastAsia" w:ascii="宋体" w:hAnsi="宋体" w:eastAsia="宋体" w:cs="Times New Roman"/>
          <w:sz w:val="24"/>
          <w:szCs w:val="24"/>
          <w:highlight w:val="none"/>
          <w:lang w:val="zh-CN"/>
        </w:rPr>
      </w:pPr>
      <w:r>
        <w:rPr>
          <w:rFonts w:hint="eastAsia" w:ascii="宋体" w:hAnsi="宋体" w:eastAsia="宋体" w:cs="Times New Roman"/>
          <w:sz w:val="24"/>
          <w:szCs w:val="24"/>
          <w:highlight w:val="none"/>
        </w:rPr>
        <w:t>发标单位</w:t>
      </w:r>
      <w:r>
        <w:rPr>
          <w:rFonts w:hint="eastAsia" w:ascii="宋体" w:hAnsi="宋体" w:eastAsia="宋体" w:cs="Times New Roman"/>
          <w:sz w:val="24"/>
          <w:szCs w:val="24"/>
          <w:highlight w:val="none"/>
          <w:lang w:val="zh-CN"/>
        </w:rPr>
        <w:t>地址：陕西省渭南市大荔县韦林镇果园（</w:t>
      </w:r>
      <w:r>
        <w:rPr>
          <w:rFonts w:hint="eastAsia" w:ascii="宋体" w:hAnsi="宋体" w:eastAsia="宋体" w:cs="Times New Roman"/>
          <w:sz w:val="24"/>
          <w:szCs w:val="24"/>
          <w:highlight w:val="none"/>
        </w:rPr>
        <w:t>原华山牧场</w:t>
      </w:r>
      <w:r>
        <w:rPr>
          <w:rFonts w:hint="eastAsia" w:ascii="宋体" w:hAnsi="宋体" w:eastAsia="宋体" w:cs="Times New Roman"/>
          <w:sz w:val="24"/>
          <w:szCs w:val="24"/>
          <w:highlight w:val="none"/>
          <w:lang w:val="zh-CN"/>
        </w:rPr>
        <w:t>）。</w:t>
      </w:r>
    </w:p>
    <w:p>
      <w:pPr>
        <w:spacing w:line="360" w:lineRule="auto"/>
        <w:ind w:firstLine="482" w:firstLineChars="200"/>
        <w:rPr>
          <w:rFonts w:hint="eastAsia" w:ascii="宋体" w:hAnsi="宋体" w:eastAsia="宋体" w:cs="Times New Roman"/>
          <w:b/>
          <w:color w:val="000000"/>
          <w:sz w:val="24"/>
          <w:szCs w:val="24"/>
          <w:highlight w:val="none"/>
          <w:lang w:val="zh-CN"/>
        </w:rPr>
      </w:pPr>
      <w:r>
        <w:rPr>
          <w:rFonts w:hint="eastAsia" w:ascii="宋体" w:hAnsi="宋体" w:eastAsia="宋体" w:cs="Times New Roman"/>
          <w:b/>
          <w:color w:val="000000"/>
          <w:sz w:val="24"/>
          <w:szCs w:val="24"/>
          <w:highlight w:val="none"/>
        </w:rPr>
        <w:t>二、招标</w:t>
      </w:r>
      <w:r>
        <w:rPr>
          <w:rFonts w:hint="eastAsia" w:ascii="宋体" w:hAnsi="宋体" w:eastAsia="宋体" w:cs="Times New Roman"/>
          <w:b/>
          <w:color w:val="000000"/>
          <w:sz w:val="24"/>
          <w:szCs w:val="24"/>
          <w:highlight w:val="none"/>
          <w:lang w:val="zh-CN"/>
        </w:rPr>
        <w:t>内容</w:t>
      </w:r>
    </w:p>
    <w:p>
      <w:pPr>
        <w:tabs>
          <w:tab w:val="left" w:pos="2975"/>
          <w:tab w:val="left" w:pos="3400"/>
          <w:tab w:val="left" w:pos="3825"/>
          <w:tab w:val="left" w:pos="4250"/>
          <w:tab w:val="left" w:pos="6195"/>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聘请第三方对到场的</w:t>
      </w:r>
      <w:r>
        <w:rPr>
          <w:rFonts w:hint="eastAsia" w:ascii="宋体" w:hAnsi="宋体" w:eastAsia="宋体" w:cs="Times New Roman"/>
          <w:sz w:val="24"/>
          <w:szCs w:val="24"/>
          <w:highlight w:val="none"/>
          <w:lang w:val="en-US" w:eastAsia="zh-CN"/>
        </w:rPr>
        <w:t>饲草料</w:t>
      </w:r>
      <w:r>
        <w:rPr>
          <w:rFonts w:hint="eastAsia" w:ascii="宋体" w:hAnsi="宋体" w:eastAsia="宋体" w:cs="Times New Roman"/>
          <w:sz w:val="24"/>
          <w:szCs w:val="24"/>
          <w:highlight w:val="none"/>
        </w:rPr>
        <w:t>进行装卸</w:t>
      </w:r>
      <w:r>
        <w:rPr>
          <w:rFonts w:hint="eastAsia" w:ascii="宋体" w:hAnsi="宋体" w:eastAsia="宋体" w:cs="Times New Roman"/>
          <w:sz w:val="24"/>
          <w:szCs w:val="24"/>
          <w:highlight w:val="none"/>
          <w:lang w:val="en-US" w:eastAsia="zh-CN"/>
        </w:rPr>
        <w:t>转运上料仓、预混料</w:t>
      </w:r>
      <w:r>
        <w:rPr>
          <w:rFonts w:hint="eastAsia" w:ascii="宋体" w:hAnsi="宋体" w:eastAsia="宋体" w:cs="Times New Roman"/>
          <w:sz w:val="24"/>
          <w:szCs w:val="24"/>
          <w:highlight w:val="none"/>
        </w:rPr>
        <w:t>制作</w:t>
      </w:r>
      <w:r>
        <w:rPr>
          <w:rFonts w:hint="eastAsia" w:ascii="宋体" w:hAnsi="宋体" w:eastAsia="宋体" w:cs="Times New Roman"/>
          <w:sz w:val="24"/>
          <w:szCs w:val="24"/>
          <w:highlight w:val="none"/>
          <w:lang w:val="en-US" w:eastAsia="zh-CN"/>
        </w:rPr>
        <w:t>转运上料仓，</w:t>
      </w:r>
      <w:r>
        <w:rPr>
          <w:rFonts w:hint="eastAsia" w:ascii="宋体" w:hAnsi="宋体" w:eastAsia="宋体" w:cs="Times New Roman"/>
          <w:sz w:val="24"/>
          <w:szCs w:val="24"/>
          <w:highlight w:val="none"/>
        </w:rPr>
        <w:t>主要包括以下内容：</w:t>
      </w:r>
    </w:p>
    <w:tbl>
      <w:tblPr>
        <w:tblStyle w:val="24"/>
        <w:tblW w:w="9612"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7"/>
        <w:gridCol w:w="856"/>
        <w:gridCol w:w="2461"/>
        <w:gridCol w:w="907"/>
        <w:gridCol w:w="1116"/>
        <w:gridCol w:w="3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987" w:type="dxa"/>
            <w:tcBorders>
              <w:top w:val="single" w:color="auto" w:sz="4" w:space="0"/>
              <w:left w:val="single" w:color="auto" w:sz="4" w:space="0"/>
              <w:bottom w:val="single" w:color="auto" w:sz="4" w:space="0"/>
              <w:right w:val="single" w:color="auto" w:sz="4" w:space="0"/>
            </w:tcBorders>
          </w:tcPr>
          <w:p>
            <w:pPr>
              <w:pStyle w:val="23"/>
              <w:spacing w:before="254" w:line="220" w:lineRule="auto"/>
              <w:jc w:val="center"/>
              <w:rPr>
                <w:rFonts w:hint="eastAsia"/>
                <w:highlight w:val="none"/>
              </w:rPr>
            </w:pPr>
            <w:r>
              <w:rPr>
                <w:spacing w:val="-6"/>
                <w:highlight w:val="none"/>
              </w:rPr>
              <w:t>项目</w:t>
            </w:r>
          </w:p>
        </w:tc>
        <w:tc>
          <w:tcPr>
            <w:tcW w:w="856" w:type="dxa"/>
            <w:tcBorders>
              <w:top w:val="single" w:color="auto" w:sz="4" w:space="0"/>
              <w:left w:val="single" w:color="auto" w:sz="4" w:space="0"/>
              <w:bottom w:val="single" w:color="auto" w:sz="4" w:space="0"/>
              <w:right w:val="single" w:color="auto" w:sz="4" w:space="0"/>
            </w:tcBorders>
          </w:tcPr>
          <w:p>
            <w:pPr>
              <w:pStyle w:val="23"/>
              <w:spacing w:before="254" w:line="219" w:lineRule="auto"/>
              <w:jc w:val="center"/>
              <w:rPr>
                <w:rFonts w:hint="eastAsia"/>
                <w:highlight w:val="none"/>
              </w:rPr>
            </w:pPr>
            <w:r>
              <w:rPr>
                <w:spacing w:val="7"/>
                <w:highlight w:val="none"/>
              </w:rPr>
              <w:t>类型</w:t>
            </w:r>
          </w:p>
        </w:tc>
        <w:tc>
          <w:tcPr>
            <w:tcW w:w="2461" w:type="dxa"/>
            <w:tcBorders>
              <w:top w:val="single" w:color="auto" w:sz="4" w:space="0"/>
              <w:left w:val="single" w:color="auto" w:sz="4" w:space="0"/>
              <w:bottom w:val="single" w:color="auto" w:sz="4" w:space="0"/>
              <w:right w:val="single" w:color="auto" w:sz="4" w:space="0"/>
            </w:tcBorders>
          </w:tcPr>
          <w:p>
            <w:pPr>
              <w:pStyle w:val="23"/>
              <w:spacing w:before="254" w:line="219" w:lineRule="auto"/>
              <w:jc w:val="center"/>
              <w:rPr>
                <w:rFonts w:hint="eastAsia"/>
                <w:highlight w:val="none"/>
              </w:rPr>
            </w:pPr>
            <w:r>
              <w:rPr>
                <w:spacing w:val="9"/>
                <w:highlight w:val="none"/>
              </w:rPr>
              <w:t>类别</w:t>
            </w:r>
          </w:p>
        </w:tc>
        <w:tc>
          <w:tcPr>
            <w:tcW w:w="907" w:type="dxa"/>
            <w:tcBorders>
              <w:top w:val="single" w:color="auto" w:sz="4" w:space="0"/>
              <w:left w:val="single" w:color="auto" w:sz="4" w:space="0"/>
              <w:bottom w:val="single" w:color="auto" w:sz="4" w:space="0"/>
              <w:right w:val="single" w:color="auto" w:sz="4" w:space="0"/>
            </w:tcBorders>
          </w:tcPr>
          <w:p>
            <w:pPr>
              <w:pStyle w:val="23"/>
              <w:spacing w:before="254" w:line="220" w:lineRule="auto"/>
              <w:jc w:val="center"/>
              <w:rPr>
                <w:rFonts w:hint="eastAsia"/>
                <w:highlight w:val="none"/>
              </w:rPr>
            </w:pPr>
            <w:r>
              <w:rPr>
                <w:spacing w:val="-3"/>
                <w:highlight w:val="none"/>
              </w:rPr>
              <w:t>单位</w:t>
            </w:r>
          </w:p>
        </w:tc>
        <w:tc>
          <w:tcPr>
            <w:tcW w:w="1116" w:type="dxa"/>
            <w:tcBorders>
              <w:top w:val="single" w:color="auto" w:sz="4" w:space="0"/>
              <w:left w:val="single" w:color="auto" w:sz="4" w:space="0"/>
              <w:bottom w:val="single" w:color="auto" w:sz="4" w:space="0"/>
              <w:right w:val="single" w:color="auto" w:sz="4" w:space="0"/>
            </w:tcBorders>
          </w:tcPr>
          <w:p>
            <w:pPr>
              <w:pStyle w:val="23"/>
              <w:spacing w:before="254" w:line="219" w:lineRule="auto"/>
              <w:jc w:val="center"/>
              <w:rPr>
                <w:rFonts w:hint="eastAsia" w:eastAsia="宋体"/>
                <w:spacing w:val="-2"/>
                <w:highlight w:val="none"/>
                <w:lang w:val="en-US" w:eastAsia="zh-CN"/>
              </w:rPr>
            </w:pPr>
            <w:bookmarkStart w:id="2" w:name="OLE_LINK2"/>
            <w:r>
              <w:rPr>
                <w:rFonts w:hint="eastAsia"/>
                <w:spacing w:val="-2"/>
                <w:highlight w:val="none"/>
                <w:lang w:val="en-US" w:eastAsia="zh-CN"/>
              </w:rPr>
              <w:t>年预计数量</w:t>
            </w:r>
            <w:bookmarkEnd w:id="2"/>
          </w:p>
        </w:tc>
        <w:tc>
          <w:tcPr>
            <w:tcW w:w="3285" w:type="dxa"/>
            <w:tcBorders>
              <w:top w:val="single" w:color="auto" w:sz="4" w:space="0"/>
              <w:left w:val="single" w:color="auto" w:sz="4" w:space="0"/>
              <w:bottom w:val="single" w:color="auto" w:sz="4" w:space="0"/>
              <w:right w:val="single" w:color="auto" w:sz="4" w:space="0"/>
            </w:tcBorders>
          </w:tcPr>
          <w:p>
            <w:pPr>
              <w:pStyle w:val="23"/>
              <w:spacing w:before="254" w:line="219" w:lineRule="auto"/>
              <w:ind w:left="1285"/>
              <w:rPr>
                <w:rFonts w:hint="eastAsia"/>
                <w:highlight w:val="none"/>
              </w:rPr>
            </w:pPr>
            <w:bookmarkStart w:id="3" w:name="OLE_LINK6"/>
            <w:r>
              <w:rPr>
                <w:spacing w:val="-2"/>
                <w:highlight w:val="none"/>
              </w:rPr>
              <w:t>服务标准</w:t>
            </w:r>
            <w:bookmarkEnd w:id="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987" w:type="dxa"/>
            <w:vMerge w:val="restart"/>
            <w:tcBorders>
              <w:top w:val="single" w:color="auto" w:sz="4" w:space="0"/>
              <w:left w:val="single" w:color="auto" w:sz="4" w:space="0"/>
              <w:bottom w:val="single" w:color="auto" w:sz="4" w:space="0"/>
              <w:right w:val="single" w:color="auto" w:sz="4" w:space="0"/>
            </w:tcBorders>
          </w:tcPr>
          <w:p>
            <w:pPr>
              <w:spacing w:line="252" w:lineRule="auto"/>
              <w:rPr>
                <w:rFonts w:ascii="Arial"/>
                <w:highlight w:val="none"/>
              </w:rPr>
            </w:pPr>
          </w:p>
          <w:p>
            <w:pPr>
              <w:spacing w:line="252" w:lineRule="auto"/>
              <w:rPr>
                <w:rFonts w:ascii="Arial"/>
                <w:highlight w:val="none"/>
              </w:rPr>
            </w:pPr>
          </w:p>
          <w:p>
            <w:pPr>
              <w:spacing w:line="252" w:lineRule="auto"/>
              <w:rPr>
                <w:rFonts w:ascii="Arial"/>
                <w:highlight w:val="none"/>
              </w:rPr>
            </w:pPr>
          </w:p>
          <w:p>
            <w:pPr>
              <w:spacing w:line="253" w:lineRule="auto"/>
              <w:rPr>
                <w:rFonts w:ascii="Arial"/>
                <w:highlight w:val="none"/>
              </w:rPr>
            </w:pPr>
          </w:p>
          <w:p>
            <w:pPr>
              <w:spacing w:line="253" w:lineRule="auto"/>
              <w:rPr>
                <w:rFonts w:ascii="Arial"/>
                <w:highlight w:val="none"/>
              </w:rPr>
            </w:pPr>
          </w:p>
          <w:p>
            <w:pPr>
              <w:spacing w:line="253" w:lineRule="auto"/>
              <w:rPr>
                <w:rFonts w:ascii="Arial"/>
                <w:highlight w:val="none"/>
              </w:rPr>
            </w:pPr>
          </w:p>
          <w:p>
            <w:pPr>
              <w:spacing w:line="253" w:lineRule="auto"/>
              <w:rPr>
                <w:rFonts w:ascii="Arial"/>
                <w:highlight w:val="none"/>
              </w:rPr>
            </w:pPr>
          </w:p>
          <w:p>
            <w:pPr>
              <w:pStyle w:val="23"/>
              <w:spacing w:before="71" w:line="220" w:lineRule="auto"/>
              <w:ind w:left="134"/>
              <w:rPr>
                <w:rFonts w:hint="eastAsia"/>
                <w:highlight w:val="none"/>
              </w:rPr>
            </w:pPr>
            <w:r>
              <w:rPr>
                <w:spacing w:val="3"/>
                <w:highlight w:val="none"/>
              </w:rPr>
              <w:t>装卸</w:t>
            </w:r>
            <w:r>
              <w:rPr>
                <w:rFonts w:hint="eastAsia"/>
                <w:spacing w:val="3"/>
                <w:highlight w:val="none"/>
                <w:lang w:val="en-US" w:eastAsia="zh-CN"/>
              </w:rPr>
              <w:t>及倒料</w:t>
            </w:r>
            <w:r>
              <w:rPr>
                <w:spacing w:val="3"/>
                <w:highlight w:val="none"/>
              </w:rPr>
              <w:t>工作</w:t>
            </w:r>
          </w:p>
        </w:tc>
        <w:tc>
          <w:tcPr>
            <w:tcW w:w="856" w:type="dxa"/>
            <w:tcBorders>
              <w:top w:val="single" w:color="auto" w:sz="4" w:space="0"/>
              <w:left w:val="single" w:color="auto" w:sz="4" w:space="0"/>
              <w:bottom w:val="single" w:color="auto" w:sz="4" w:space="0"/>
              <w:right w:val="single" w:color="auto" w:sz="4" w:space="0"/>
            </w:tcBorders>
            <w:vAlign w:val="center"/>
          </w:tcPr>
          <w:p>
            <w:pPr>
              <w:pStyle w:val="23"/>
              <w:spacing w:before="71" w:line="220" w:lineRule="auto"/>
              <w:jc w:val="center"/>
              <w:rPr>
                <w:rFonts w:hint="eastAsia"/>
                <w:highlight w:val="none"/>
              </w:rPr>
            </w:pPr>
            <w:r>
              <w:rPr>
                <w:spacing w:val="-2"/>
                <w:highlight w:val="none"/>
              </w:rPr>
              <w:t>袋装料</w:t>
            </w:r>
          </w:p>
        </w:tc>
        <w:tc>
          <w:tcPr>
            <w:tcW w:w="2461" w:type="dxa"/>
            <w:tcBorders>
              <w:top w:val="single" w:color="auto" w:sz="4" w:space="0"/>
              <w:left w:val="single" w:color="auto" w:sz="4" w:space="0"/>
              <w:bottom w:val="single" w:color="auto" w:sz="4" w:space="0"/>
              <w:right w:val="single" w:color="auto" w:sz="4" w:space="0"/>
            </w:tcBorders>
            <w:vAlign w:val="center"/>
          </w:tcPr>
          <w:p>
            <w:pPr>
              <w:pStyle w:val="23"/>
              <w:spacing w:before="120" w:line="240" w:lineRule="auto"/>
              <w:ind w:left="92"/>
              <w:jc w:val="both"/>
              <w:rPr>
                <w:rFonts w:hint="default"/>
                <w:highlight w:val="none"/>
                <w:lang w:val="en-US" w:eastAsia="zh-CN"/>
              </w:rPr>
            </w:pPr>
            <w:r>
              <w:rPr>
                <w:spacing w:val="-1"/>
                <w:highlight w:val="none"/>
                <w:lang w:eastAsia="zh-CN"/>
              </w:rPr>
              <w:t>豆粕、</w:t>
            </w:r>
            <w:r>
              <w:rPr>
                <w:rFonts w:hint="eastAsia"/>
                <w:spacing w:val="-1"/>
                <w:highlight w:val="none"/>
                <w:lang w:val="en-US" w:eastAsia="zh-CN"/>
              </w:rPr>
              <w:t>菜粕、</w:t>
            </w:r>
            <w:r>
              <w:rPr>
                <w:rFonts w:hint="eastAsia"/>
                <w:spacing w:val="-1"/>
                <w:highlight w:val="none"/>
                <w:lang w:eastAsia="zh-CN"/>
              </w:rPr>
              <w:t>甜菜颗粒、</w:t>
            </w:r>
            <w:r>
              <w:rPr>
                <w:rFonts w:hint="eastAsia"/>
                <w:spacing w:val="-1"/>
                <w:highlight w:val="none"/>
                <w:lang w:val="en-US" w:eastAsia="zh-CN"/>
              </w:rPr>
              <w:t>膨化大豆、有机豆饼粉、玉米蛋白粉、</w:t>
            </w:r>
            <w:r>
              <w:rPr>
                <w:spacing w:val="-1"/>
                <w:highlight w:val="none"/>
                <w:lang w:eastAsia="zh-CN"/>
              </w:rPr>
              <w:t>预混料类</w:t>
            </w:r>
            <w:r>
              <w:rPr>
                <w:rFonts w:hint="eastAsia"/>
                <w:spacing w:val="-1"/>
                <w:highlight w:val="none"/>
                <w:lang w:eastAsia="zh-CN"/>
              </w:rPr>
              <w:t>、</w:t>
            </w:r>
            <w:r>
              <w:rPr>
                <w:spacing w:val="-1"/>
                <w:highlight w:val="none"/>
                <w:lang w:eastAsia="zh-CN"/>
              </w:rPr>
              <w:t>稻壳粉</w:t>
            </w:r>
            <w:r>
              <w:rPr>
                <w:spacing w:val="1"/>
                <w:highlight w:val="none"/>
                <w:lang w:eastAsia="zh-CN"/>
              </w:rPr>
              <w:t>等</w:t>
            </w:r>
            <w:r>
              <w:rPr>
                <w:rFonts w:hint="eastAsia"/>
                <w:spacing w:val="1"/>
                <w:highlight w:val="none"/>
                <w:lang w:val="en-US" w:eastAsia="zh-CN"/>
              </w:rPr>
              <w:t>袋装原料</w:t>
            </w:r>
          </w:p>
        </w:tc>
        <w:tc>
          <w:tcPr>
            <w:tcW w:w="907" w:type="dxa"/>
            <w:tcBorders>
              <w:top w:val="single" w:color="auto" w:sz="4" w:space="0"/>
              <w:left w:val="single" w:color="auto" w:sz="4" w:space="0"/>
              <w:bottom w:val="single" w:color="auto" w:sz="4" w:space="0"/>
              <w:right w:val="single" w:color="auto" w:sz="4" w:space="0"/>
            </w:tcBorders>
            <w:vAlign w:val="center"/>
          </w:tcPr>
          <w:p>
            <w:pPr>
              <w:pStyle w:val="23"/>
              <w:spacing w:before="71" w:line="229" w:lineRule="auto"/>
              <w:jc w:val="center"/>
              <w:rPr>
                <w:rFonts w:hint="eastAsia"/>
                <w:highlight w:val="none"/>
              </w:rPr>
            </w:pPr>
            <w:r>
              <w:rPr>
                <w:highlight w:val="none"/>
              </w:rPr>
              <w:t>吨</w:t>
            </w:r>
          </w:p>
        </w:tc>
        <w:tc>
          <w:tcPr>
            <w:tcW w:w="1116" w:type="dxa"/>
            <w:tcBorders>
              <w:top w:val="single" w:color="auto" w:sz="4" w:space="0"/>
              <w:left w:val="single" w:color="auto" w:sz="4" w:space="0"/>
              <w:bottom w:val="single" w:color="auto" w:sz="4" w:space="0"/>
              <w:right w:val="single" w:color="auto" w:sz="4" w:space="0"/>
            </w:tcBorders>
            <w:vAlign w:val="center"/>
          </w:tcPr>
          <w:p>
            <w:pPr>
              <w:pStyle w:val="23"/>
              <w:spacing w:before="37" w:line="240" w:lineRule="auto"/>
              <w:ind w:right="92"/>
              <w:jc w:val="center"/>
              <w:rPr>
                <w:rFonts w:hint="eastAsia" w:asciiTheme="majorEastAsia" w:hAnsiTheme="majorEastAsia" w:eastAsiaTheme="majorEastAsia" w:cstheme="majorEastAsia"/>
                <w:highlight w:val="none"/>
                <w:lang w:val="en-US" w:eastAsia="zh-CN"/>
              </w:rPr>
            </w:pPr>
            <w:r>
              <w:rPr>
                <w:rFonts w:hint="eastAsia" w:ascii="宋体" w:hAnsi="宋体" w:eastAsia="宋体" w:cs="宋体"/>
                <w:color w:val="000000"/>
                <w:kern w:val="0"/>
                <w:sz w:val="22"/>
                <w:lang w:bidi="ar"/>
              </w:rPr>
              <w:t>1</w:t>
            </w:r>
            <w:r>
              <w:rPr>
                <w:rFonts w:hint="eastAsia" w:ascii="宋体" w:hAnsi="宋体" w:eastAsia="宋体" w:cs="宋体"/>
                <w:color w:val="000000"/>
                <w:kern w:val="0"/>
                <w:sz w:val="22"/>
                <w:lang w:val="en-US" w:eastAsia="zh-CN" w:bidi="ar"/>
              </w:rPr>
              <w:t>63</w:t>
            </w:r>
            <w:r>
              <w:rPr>
                <w:rFonts w:hint="eastAsia" w:ascii="宋体" w:hAnsi="宋体" w:eastAsia="宋体" w:cs="宋体"/>
                <w:color w:val="000000"/>
                <w:kern w:val="0"/>
                <w:sz w:val="22"/>
                <w:lang w:bidi="ar"/>
              </w:rPr>
              <w:t>00</w:t>
            </w:r>
          </w:p>
        </w:tc>
        <w:tc>
          <w:tcPr>
            <w:tcW w:w="3285" w:type="dxa"/>
            <w:vMerge w:val="restart"/>
            <w:tcBorders>
              <w:top w:val="single" w:color="auto" w:sz="4" w:space="0"/>
              <w:left w:val="single" w:color="auto" w:sz="4" w:space="0"/>
              <w:bottom w:val="single" w:color="auto" w:sz="4" w:space="0"/>
              <w:right w:val="single" w:color="auto" w:sz="4" w:space="0"/>
            </w:tcBorders>
          </w:tcPr>
          <w:p>
            <w:pPr>
              <w:pStyle w:val="23"/>
              <w:numPr>
                <w:ilvl w:val="0"/>
                <w:numId w:val="0"/>
              </w:numPr>
              <w:spacing w:before="71" w:line="240" w:lineRule="auto"/>
              <w:ind w:right="127" w:rightChars="0"/>
              <w:jc w:val="left"/>
              <w:rPr>
                <w:rFonts w:hint="eastAsia" w:asciiTheme="minorEastAsia" w:hAnsiTheme="minorEastAsia" w:eastAsiaTheme="minorEastAsia" w:cstheme="minorEastAsia"/>
                <w:spacing w:val="-1"/>
                <w:highlight w:val="none"/>
                <w:lang w:val="en-US" w:eastAsia="zh-CN"/>
              </w:rPr>
            </w:pP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spacing w:val="-1"/>
                <w:highlight w:val="none"/>
                <w:lang w:val="en-US" w:eastAsia="zh-CN"/>
              </w:rPr>
              <w:t>饲料装卸按照库管要求整齐码垛并放置指定位置（日来货约102吨；其中袋装料要求进行堆码），袋装类的饲料卸货由人工进行；禁止使用破坏包装的方式卸货；按照要求分类分批次分状态堆放，堆码高度不超10层，柱距大于10cm，草库堆放距离墙大于1米；</w:t>
            </w:r>
          </w:p>
          <w:p>
            <w:pPr>
              <w:pStyle w:val="23"/>
              <w:numPr>
                <w:ilvl w:val="0"/>
                <w:numId w:val="0"/>
              </w:numPr>
              <w:spacing w:before="71" w:line="240" w:lineRule="auto"/>
              <w:ind w:right="127" w:rightChars="0"/>
              <w:jc w:val="left"/>
              <w:rPr>
                <w:rFonts w:hint="eastAsia" w:asciiTheme="minorEastAsia" w:hAnsiTheme="minorEastAsia" w:eastAsiaTheme="minorEastAsia" w:cstheme="minorEastAsia"/>
                <w:spacing w:val="-1"/>
                <w:highlight w:val="none"/>
                <w:lang w:eastAsia="zh-CN"/>
              </w:rPr>
            </w:pPr>
            <w:r>
              <w:rPr>
                <w:rFonts w:hint="eastAsia" w:asciiTheme="minorEastAsia" w:hAnsiTheme="minorEastAsia" w:eastAsiaTheme="minorEastAsia" w:cstheme="minorEastAsia"/>
                <w:spacing w:val="-1"/>
                <w:highlight w:val="none"/>
                <w:lang w:val="en-US" w:eastAsia="zh-CN"/>
              </w:rPr>
              <w:t>2、</w:t>
            </w:r>
            <w:r>
              <w:rPr>
                <w:rFonts w:hint="eastAsia" w:asciiTheme="minorEastAsia" w:hAnsiTheme="minorEastAsia" w:eastAsiaTheme="minorEastAsia" w:cstheme="minorEastAsia"/>
                <w:highlight w:val="none"/>
                <w:lang w:eastAsia="zh-CN"/>
              </w:rPr>
              <w:t>倒运物料时需要将物料从料库</w:t>
            </w:r>
            <w:r>
              <w:rPr>
                <w:rFonts w:hint="eastAsia" w:asciiTheme="minorEastAsia" w:hAnsiTheme="minorEastAsia" w:eastAsiaTheme="minorEastAsia" w:cstheme="minorEastAsia"/>
                <w:spacing w:val="13"/>
                <w:highlight w:val="none"/>
                <w:lang w:eastAsia="zh-CN"/>
              </w:rPr>
              <w:t xml:space="preserve"> </w:t>
            </w:r>
            <w:r>
              <w:rPr>
                <w:rFonts w:hint="eastAsia" w:asciiTheme="minorEastAsia" w:hAnsiTheme="minorEastAsia" w:eastAsiaTheme="minorEastAsia" w:cstheme="minorEastAsia"/>
                <w:spacing w:val="-1"/>
                <w:highlight w:val="none"/>
                <w:lang w:eastAsia="zh-CN"/>
              </w:rPr>
              <w:t>倒运至料仓内（</w:t>
            </w:r>
            <w:r>
              <w:rPr>
                <w:rFonts w:hint="eastAsia" w:asciiTheme="minorEastAsia" w:hAnsiTheme="minorEastAsia" w:eastAsiaTheme="minorEastAsia" w:cstheme="minorEastAsia"/>
                <w:spacing w:val="-1"/>
                <w:highlight w:val="none"/>
                <w:lang w:val="en-US" w:eastAsia="zh-CN"/>
              </w:rPr>
              <w:t>转运距离200米</w:t>
            </w:r>
            <w:r>
              <w:rPr>
                <w:rFonts w:hint="eastAsia" w:asciiTheme="minorEastAsia" w:hAnsiTheme="minorEastAsia" w:eastAsiaTheme="minorEastAsia" w:cstheme="minorEastAsia"/>
                <w:spacing w:val="-1"/>
                <w:highlight w:val="none"/>
                <w:lang w:eastAsia="zh-CN"/>
              </w:rPr>
              <w:t>），</w:t>
            </w:r>
            <w:r>
              <w:rPr>
                <w:rFonts w:hint="eastAsia" w:asciiTheme="minorEastAsia" w:hAnsiTheme="minorEastAsia" w:eastAsiaTheme="minorEastAsia" w:cstheme="minorEastAsia"/>
                <w:spacing w:val="-1"/>
                <w:highlight w:val="none"/>
                <w:lang w:val="en-US" w:eastAsia="zh-CN"/>
              </w:rPr>
              <w:t>日转运数量约102吨</w:t>
            </w:r>
            <w:r>
              <w:rPr>
                <w:rFonts w:hint="eastAsia" w:asciiTheme="minorEastAsia" w:hAnsiTheme="minorEastAsia" w:eastAsiaTheme="minorEastAsia" w:cstheme="minorEastAsia"/>
                <w:spacing w:val="-1"/>
                <w:highlight w:val="none"/>
                <w:lang w:eastAsia="zh-CN"/>
              </w:rPr>
              <w:t>；</w:t>
            </w:r>
          </w:p>
          <w:p>
            <w:pPr>
              <w:pStyle w:val="23"/>
              <w:numPr>
                <w:ilvl w:val="0"/>
                <w:numId w:val="0"/>
              </w:numPr>
              <w:spacing w:before="71" w:line="240" w:lineRule="auto"/>
              <w:ind w:right="127" w:rightChars="0"/>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1"/>
                <w:highlight w:val="none"/>
                <w:lang w:val="en-US" w:eastAsia="zh-CN"/>
              </w:rPr>
              <w:t>3、预混料制作</w:t>
            </w:r>
            <w:r>
              <w:rPr>
                <w:rFonts w:hint="eastAsia" w:asciiTheme="minorEastAsia" w:hAnsiTheme="minorEastAsia" w:eastAsiaTheme="minorEastAsia" w:cstheme="minorEastAsia"/>
                <w:highlight w:val="none"/>
                <w:lang w:eastAsia="zh-CN"/>
              </w:rPr>
              <w:t>在小料车间，</w:t>
            </w:r>
            <w:r>
              <w:rPr>
                <w:rFonts w:hint="eastAsia" w:asciiTheme="minorEastAsia" w:hAnsiTheme="minorEastAsia" w:eastAsiaTheme="minorEastAsia" w:cstheme="minorEastAsia"/>
                <w:spacing w:val="-1"/>
                <w:highlight w:val="none"/>
                <w:lang w:eastAsia="zh-CN"/>
              </w:rPr>
              <w:t>需按要求</w:t>
            </w:r>
            <w:r>
              <w:rPr>
                <w:rFonts w:hint="eastAsia" w:asciiTheme="minorEastAsia" w:hAnsiTheme="minorEastAsia" w:eastAsiaTheme="minorEastAsia" w:cstheme="minorEastAsia"/>
                <w:highlight w:val="none"/>
                <w:lang w:eastAsia="zh-CN"/>
              </w:rPr>
              <w:t>拆袋</w:t>
            </w:r>
            <w:r>
              <w:rPr>
                <w:rFonts w:hint="eastAsia" w:asciiTheme="minorEastAsia" w:hAnsiTheme="minorEastAsia" w:eastAsiaTheme="minorEastAsia" w:cstheme="minorEastAsia"/>
                <w:highlight w:val="none"/>
                <w:lang w:val="en-US" w:eastAsia="zh-CN"/>
              </w:rPr>
              <w:t>称量后，</w:t>
            </w:r>
            <w:r>
              <w:rPr>
                <w:rFonts w:hint="eastAsia" w:asciiTheme="minorEastAsia" w:hAnsiTheme="minorEastAsia" w:eastAsiaTheme="minorEastAsia" w:cstheme="minorEastAsia"/>
                <w:highlight w:val="none"/>
                <w:lang w:eastAsia="zh-CN"/>
              </w:rPr>
              <w:t>配制进仓；</w:t>
            </w:r>
          </w:p>
          <w:p>
            <w:pPr>
              <w:pStyle w:val="23"/>
              <w:numPr>
                <w:ilvl w:val="0"/>
                <w:numId w:val="0"/>
              </w:numPr>
              <w:spacing w:before="71" w:line="240" w:lineRule="auto"/>
              <w:ind w:right="127" w:rightChars="0"/>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4、</w:t>
            </w:r>
            <w:r>
              <w:rPr>
                <w:rFonts w:hint="eastAsia" w:asciiTheme="minorEastAsia" w:hAnsiTheme="minorEastAsia" w:eastAsiaTheme="minorEastAsia" w:cstheme="minorEastAsia"/>
                <w:spacing w:val="-1"/>
                <w:highlight w:val="none"/>
                <w:lang w:eastAsia="zh-CN"/>
              </w:rPr>
              <w:t>及时清理散落的饲料，保持现</w:t>
            </w:r>
            <w:r>
              <w:rPr>
                <w:rFonts w:hint="eastAsia" w:asciiTheme="minorEastAsia" w:hAnsiTheme="minorEastAsia" w:eastAsiaTheme="minorEastAsia" w:cstheme="minorEastAsia"/>
                <w:spacing w:val="18"/>
                <w:highlight w:val="none"/>
                <w:lang w:eastAsia="zh-CN"/>
              </w:rPr>
              <w:t>场卫生整洁；</w:t>
            </w:r>
          </w:p>
          <w:p>
            <w:pPr>
              <w:pStyle w:val="23"/>
              <w:spacing w:before="37" w:line="240" w:lineRule="auto"/>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1"/>
                <w:highlight w:val="none"/>
                <w:lang w:val="en-US" w:eastAsia="zh-CN"/>
              </w:rPr>
              <w:t>5</w:t>
            </w:r>
            <w:r>
              <w:rPr>
                <w:rFonts w:hint="eastAsia" w:asciiTheme="minorEastAsia" w:hAnsiTheme="minorEastAsia" w:eastAsiaTheme="minorEastAsia" w:cstheme="minorEastAsia"/>
                <w:spacing w:val="1"/>
                <w:highlight w:val="none"/>
                <w:lang w:eastAsia="zh-CN"/>
              </w:rPr>
              <w:t>、根据实际需求对物料进行</w:t>
            </w:r>
            <w:r>
              <w:rPr>
                <w:rFonts w:hint="eastAsia" w:asciiTheme="minorEastAsia" w:hAnsiTheme="minorEastAsia" w:eastAsiaTheme="minorEastAsia" w:cstheme="minorEastAsia"/>
                <w:spacing w:val="1"/>
                <w:highlight w:val="none"/>
                <w:lang w:val="en-US" w:eastAsia="zh-CN"/>
              </w:rPr>
              <w:t>遮盖</w:t>
            </w:r>
            <w:r>
              <w:rPr>
                <w:rFonts w:hint="eastAsia" w:asciiTheme="minorEastAsia" w:hAnsiTheme="minorEastAsia" w:eastAsiaTheme="minorEastAsia" w:cstheme="minorEastAsia"/>
                <w:spacing w:val="1"/>
                <w:highlight w:val="none"/>
                <w:lang w:eastAsia="zh-CN"/>
              </w:rPr>
              <w:t>；</w:t>
            </w:r>
          </w:p>
          <w:p>
            <w:pPr>
              <w:pStyle w:val="23"/>
              <w:spacing w:before="47" w:line="240" w:lineRule="auto"/>
              <w:ind w:right="145"/>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1"/>
                <w:highlight w:val="none"/>
                <w:lang w:eastAsia="zh-CN"/>
              </w:rPr>
              <w:t>6、特种车辆驾驶人员需要持证上</w:t>
            </w:r>
            <w:r>
              <w:rPr>
                <w:rFonts w:hint="eastAsia" w:asciiTheme="minorEastAsia" w:hAnsiTheme="minorEastAsia" w:eastAsiaTheme="minorEastAsia" w:cstheme="minorEastAsia"/>
                <w:spacing w:val="-17"/>
                <w:highlight w:val="none"/>
                <w:lang w:eastAsia="zh-CN"/>
              </w:rPr>
              <w:t>岗</w:t>
            </w:r>
            <w:r>
              <w:rPr>
                <w:rFonts w:hint="eastAsia" w:asciiTheme="minorEastAsia" w:hAnsiTheme="minorEastAsia" w:eastAsiaTheme="minorEastAsia" w:cstheme="minorEastAsia"/>
                <w:spacing w:val="-45"/>
                <w:highlight w:val="none"/>
                <w:lang w:eastAsia="zh-CN"/>
              </w:rPr>
              <w:t xml:space="preserve"> </w:t>
            </w:r>
            <w:r>
              <w:rPr>
                <w:rFonts w:hint="eastAsia" w:asciiTheme="minorEastAsia" w:hAnsiTheme="minorEastAsia" w:eastAsiaTheme="minorEastAsia" w:cstheme="minorEastAsia"/>
                <w:spacing w:val="-17"/>
                <w:highlight w:val="none"/>
                <w:lang w:eastAsia="zh-CN"/>
              </w:rPr>
              <w:t>；</w:t>
            </w:r>
          </w:p>
          <w:p>
            <w:pPr>
              <w:pStyle w:val="23"/>
              <w:spacing w:before="46" w:line="240" w:lineRule="auto"/>
              <w:ind w:right="94"/>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7、牧场提供</w:t>
            </w:r>
            <w:r>
              <w:rPr>
                <w:rFonts w:hint="eastAsia" w:asciiTheme="minorEastAsia" w:hAnsiTheme="minorEastAsia" w:eastAsiaTheme="minorEastAsia" w:cstheme="minorEastAsia"/>
                <w:highlight w:val="none"/>
                <w:lang w:val="en-US" w:eastAsia="zh-CN"/>
              </w:rPr>
              <w:t>部分车辆（可正常使用）</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lang w:val="en-US" w:eastAsia="zh-CN"/>
              </w:rPr>
              <w:t>包括</w:t>
            </w:r>
            <w:r>
              <w:rPr>
                <w:rFonts w:hint="eastAsia" w:asciiTheme="minorEastAsia" w:hAnsiTheme="minorEastAsia" w:eastAsiaTheme="minorEastAsia" w:cstheme="minorEastAsia"/>
                <w:highlight w:val="none"/>
                <w:lang w:eastAsia="zh-CN"/>
              </w:rPr>
              <w:t>50装机1台、叉车一台、金刚车一台，</w:t>
            </w:r>
            <w:r>
              <w:rPr>
                <w:rFonts w:hint="eastAsia" w:asciiTheme="minorEastAsia" w:hAnsiTheme="minorEastAsia" w:eastAsiaTheme="minorEastAsia" w:cstheme="minorEastAsia"/>
                <w:highlight w:val="none"/>
                <w:lang w:val="en-US" w:eastAsia="zh-CN"/>
              </w:rPr>
              <w:t>其余车辆及工具由</w:t>
            </w:r>
            <w:r>
              <w:rPr>
                <w:rFonts w:hint="eastAsia" w:asciiTheme="minorEastAsia" w:hAnsiTheme="minorEastAsia" w:eastAsiaTheme="minorEastAsia" w:cstheme="minorEastAsia"/>
                <w:highlight w:val="none"/>
                <w:lang w:eastAsia="zh-CN"/>
              </w:rPr>
              <w:t>承包方自行组织；</w:t>
            </w:r>
          </w:p>
          <w:p>
            <w:pPr>
              <w:pStyle w:val="23"/>
              <w:spacing w:before="37" w:line="240" w:lineRule="auto"/>
              <w:ind w:right="92"/>
              <w:jc w:val="left"/>
              <w:rPr>
                <w:rFonts w:hint="default"/>
                <w:highlight w:val="none"/>
                <w:lang w:val="en-US" w:eastAsia="zh-CN"/>
              </w:rPr>
            </w:pPr>
            <w:r>
              <w:rPr>
                <w:rFonts w:hint="eastAsia" w:asciiTheme="minorEastAsia" w:hAnsiTheme="minorEastAsia" w:eastAsiaTheme="minorEastAsia" w:cstheme="minorEastAsia"/>
                <w:highlight w:val="none"/>
                <w:lang w:val="en-US" w:eastAsia="zh-CN"/>
              </w:rPr>
              <w:t>8、所有设备使用的</w:t>
            </w:r>
            <w:r>
              <w:rPr>
                <w:rFonts w:hint="eastAsia" w:asciiTheme="minorEastAsia" w:hAnsiTheme="minorEastAsia" w:eastAsiaTheme="minorEastAsia" w:cstheme="minorEastAsia"/>
                <w:highlight w:val="none"/>
                <w:lang w:eastAsia="zh-CN"/>
              </w:rPr>
              <w:t>燃油、维修</w:t>
            </w:r>
            <w:r>
              <w:rPr>
                <w:rFonts w:hint="eastAsia" w:asciiTheme="minorEastAsia" w:hAnsiTheme="minorEastAsia" w:eastAsiaTheme="minorEastAsia" w:cstheme="minorEastAsia"/>
                <w:highlight w:val="none"/>
                <w:lang w:val="en-US" w:eastAsia="zh-CN"/>
              </w:rPr>
              <w:t>费用、</w:t>
            </w:r>
            <w:r>
              <w:rPr>
                <w:rFonts w:hint="eastAsia" w:asciiTheme="minorEastAsia" w:hAnsiTheme="minorEastAsia" w:eastAsiaTheme="minorEastAsia" w:cstheme="minorEastAsia"/>
                <w:highlight w:val="none"/>
                <w:lang w:eastAsia="zh-CN"/>
              </w:rPr>
              <w:t>保养费用、</w:t>
            </w:r>
            <w:r>
              <w:rPr>
                <w:rFonts w:hint="eastAsia" w:asciiTheme="minorEastAsia" w:hAnsiTheme="minorEastAsia" w:eastAsiaTheme="minorEastAsia" w:cstheme="minorEastAsia"/>
                <w:highlight w:val="none"/>
                <w:lang w:val="en-US" w:eastAsia="zh-CN"/>
              </w:rPr>
              <w:t>人员保险、食宿、</w:t>
            </w:r>
            <w:r>
              <w:rPr>
                <w:rFonts w:hint="eastAsia" w:ascii="宋体" w:hAnsi="宋体" w:eastAsia="宋体" w:cs="Times New Roman"/>
                <w:sz w:val="24"/>
                <w:szCs w:val="24"/>
                <w:highlight w:val="none"/>
                <w:lang w:val="en-US" w:eastAsia="zh-CN"/>
              </w:rPr>
              <w:t>劳保用品</w:t>
            </w:r>
            <w:r>
              <w:rPr>
                <w:rFonts w:hint="eastAsia" w:ascii="宋体" w:hAnsi="宋体" w:eastAsia="宋体" w:cs="Times New Roman"/>
                <w:sz w:val="24"/>
                <w:szCs w:val="24"/>
                <w:highlight w:val="none"/>
              </w:rPr>
              <w:t>、</w:t>
            </w:r>
            <w:r>
              <w:rPr>
                <w:rFonts w:hint="eastAsia" w:cs="Times New Roman"/>
                <w:sz w:val="24"/>
                <w:szCs w:val="24"/>
                <w:highlight w:val="none"/>
                <w:lang w:val="en-US" w:eastAsia="zh-CN"/>
              </w:rPr>
              <w:t>税费</w:t>
            </w:r>
            <w:r>
              <w:rPr>
                <w:rFonts w:hint="eastAsia" w:asciiTheme="minorEastAsia" w:hAnsiTheme="minorEastAsia" w:eastAsiaTheme="minorEastAsia" w:cstheme="minorEastAsia"/>
                <w:highlight w:val="none"/>
                <w:lang w:val="en-US" w:eastAsia="zh-CN"/>
              </w:rPr>
              <w:t>等均</w:t>
            </w:r>
            <w:r>
              <w:rPr>
                <w:rFonts w:hint="eastAsia" w:asciiTheme="minorEastAsia" w:hAnsiTheme="minorEastAsia" w:eastAsiaTheme="minorEastAsia" w:cstheme="minorEastAsia"/>
                <w:highlight w:val="none"/>
                <w:lang w:eastAsia="zh-CN"/>
              </w:rPr>
              <w:t>由承包方负责，</w:t>
            </w:r>
            <w:r>
              <w:rPr>
                <w:rFonts w:hint="eastAsia" w:asciiTheme="minorEastAsia" w:hAnsiTheme="minorEastAsia" w:eastAsiaTheme="minorEastAsia" w:cstheme="minorEastAsia"/>
                <w:highlight w:val="none"/>
                <w:lang w:val="en-US" w:eastAsia="zh-CN"/>
              </w:rPr>
              <w:t>牧场提供的车辆</w:t>
            </w:r>
            <w:r>
              <w:rPr>
                <w:rFonts w:hint="eastAsia" w:asciiTheme="minorEastAsia" w:hAnsiTheme="minorEastAsia" w:eastAsiaTheme="minorEastAsia" w:cstheme="minorEastAsia"/>
                <w:highlight w:val="none"/>
                <w:lang w:eastAsia="zh-CN"/>
              </w:rPr>
              <w:t>保养频次</w:t>
            </w:r>
            <w:r>
              <w:rPr>
                <w:rFonts w:hint="eastAsia" w:asciiTheme="minorEastAsia" w:hAnsiTheme="minorEastAsia" w:eastAsiaTheme="minorEastAsia" w:cstheme="minorEastAsia"/>
                <w:highlight w:val="none"/>
                <w:lang w:val="en-US" w:eastAsia="zh-CN"/>
              </w:rPr>
              <w:t>需</w:t>
            </w:r>
            <w:r>
              <w:rPr>
                <w:rFonts w:hint="eastAsia" w:asciiTheme="minorEastAsia" w:hAnsiTheme="minorEastAsia" w:eastAsiaTheme="minorEastAsia" w:cstheme="minorEastAsia"/>
                <w:highlight w:val="none"/>
                <w:lang w:eastAsia="zh-CN"/>
              </w:rPr>
              <w:t>按牧场设备保养</w:t>
            </w:r>
            <w:r>
              <w:rPr>
                <w:rFonts w:hint="eastAsia" w:asciiTheme="minorEastAsia" w:hAnsiTheme="minorEastAsia" w:eastAsiaTheme="minorEastAsia" w:cstheme="minorEastAsia"/>
                <w:highlight w:val="none"/>
                <w:lang w:val="en-US" w:eastAsia="zh-CN"/>
              </w:rPr>
              <w:t>计划</w:t>
            </w:r>
            <w:r>
              <w:rPr>
                <w:rFonts w:hint="eastAsia" w:asciiTheme="minorEastAsia" w:hAnsiTheme="minorEastAsia" w:eastAsiaTheme="minorEastAsia" w:cstheme="minorEastAsia"/>
                <w:highlight w:val="none"/>
                <w:lang w:eastAsia="zh-CN"/>
              </w:rPr>
              <w:t>执行（</w:t>
            </w:r>
            <w:r>
              <w:rPr>
                <w:rFonts w:hint="eastAsia" w:asciiTheme="minorEastAsia" w:hAnsiTheme="minorEastAsia" w:eastAsiaTheme="minorEastAsia" w:cstheme="minorEastAsia"/>
                <w:highlight w:val="none"/>
                <w:lang w:val="en-US" w:eastAsia="zh-CN"/>
              </w:rPr>
              <w:t>装载机、叉车、金刚车每月更换机油、机滤、柴滤；预计费用17000元，液压油及液力传动油预计费用6000元</w:t>
            </w:r>
            <w:r>
              <w:rPr>
                <w:rFonts w:hint="eastAsia" w:asciiTheme="minorEastAsia" w:hAnsiTheme="minorEastAsia" w:eastAsiaTheme="minorEastAsia" w:cstheme="minorEastAsia"/>
                <w:highlight w:val="none"/>
                <w:lang w:eastAsia="zh-CN"/>
              </w:rPr>
              <w:t>），合同期满</w:t>
            </w:r>
            <w:r>
              <w:rPr>
                <w:rFonts w:hint="eastAsia" w:asciiTheme="minorEastAsia" w:hAnsiTheme="minorEastAsia" w:eastAsiaTheme="minorEastAsia" w:cstheme="minorEastAsia"/>
                <w:highlight w:val="none"/>
                <w:lang w:val="en-US" w:eastAsia="zh-CN"/>
              </w:rPr>
              <w:t>后承包方</w:t>
            </w:r>
            <w:r>
              <w:rPr>
                <w:rFonts w:hint="eastAsia" w:asciiTheme="minorEastAsia" w:hAnsiTheme="minorEastAsia" w:eastAsiaTheme="minorEastAsia" w:cstheme="minorEastAsia"/>
                <w:highlight w:val="none"/>
                <w:lang w:eastAsia="zh-CN"/>
              </w:rPr>
              <w:t>对设备进行检修保养，</w:t>
            </w:r>
            <w:r>
              <w:rPr>
                <w:rFonts w:hint="eastAsia" w:asciiTheme="minorEastAsia" w:hAnsiTheme="minorEastAsia" w:eastAsiaTheme="minorEastAsia" w:cstheme="minorEastAsia"/>
                <w:highlight w:val="none"/>
                <w:lang w:val="en-US" w:eastAsia="zh-CN"/>
              </w:rPr>
              <w:t>确保车辆正常使用后交付牧场。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987" w:type="dxa"/>
            <w:vMerge w:val="continue"/>
            <w:tcBorders>
              <w:top w:val="single" w:color="auto" w:sz="4" w:space="0"/>
              <w:left w:val="single" w:color="auto" w:sz="4" w:space="0"/>
              <w:bottom w:val="single" w:color="auto" w:sz="4" w:space="0"/>
              <w:right w:val="single" w:color="auto" w:sz="4" w:space="0"/>
            </w:tcBorders>
          </w:tcPr>
          <w:p>
            <w:pPr>
              <w:rPr>
                <w:rFonts w:ascii="Arial"/>
                <w:highlight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before="72" w:line="219" w:lineRule="auto"/>
              <w:jc w:val="center"/>
              <w:rPr>
                <w:rFonts w:hint="eastAsia" w:ascii="宋体" w:hAnsi="宋体" w:eastAsia="宋体" w:cs="宋体"/>
                <w:kern w:val="2"/>
                <w:sz w:val="22"/>
                <w:szCs w:val="22"/>
                <w:highlight w:val="none"/>
                <w:lang w:val="en-US" w:eastAsia="en-US" w:bidi="ar-SA"/>
              </w:rPr>
            </w:pPr>
            <w:r>
              <w:rPr>
                <w:spacing w:val="-2"/>
                <w:highlight w:val="none"/>
              </w:rPr>
              <w:t>散装料</w:t>
            </w:r>
          </w:p>
        </w:tc>
        <w:tc>
          <w:tcPr>
            <w:tcW w:w="24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before="120" w:line="240" w:lineRule="auto"/>
              <w:ind w:left="92"/>
              <w:jc w:val="both"/>
              <w:rPr>
                <w:rFonts w:hint="default" w:ascii="宋体" w:hAnsi="宋体" w:eastAsia="宋体" w:cs="宋体"/>
                <w:kern w:val="2"/>
                <w:sz w:val="22"/>
                <w:szCs w:val="22"/>
                <w:highlight w:val="none"/>
                <w:lang w:val="en-US" w:eastAsia="zh-CN" w:bidi="ar-SA"/>
              </w:rPr>
            </w:pPr>
            <w:bookmarkStart w:id="4" w:name="OLE_LINK4"/>
            <w:r>
              <w:rPr>
                <w:rFonts w:hint="eastAsia"/>
                <w:spacing w:val="7"/>
                <w:highlight w:val="none"/>
                <w:lang w:eastAsia="zh-CN"/>
              </w:rPr>
              <w:t>玉米、压片玉米、稻糠、稻壳等</w:t>
            </w:r>
            <w:r>
              <w:rPr>
                <w:rFonts w:hint="eastAsia"/>
                <w:spacing w:val="7"/>
                <w:highlight w:val="none"/>
                <w:lang w:val="en-US" w:eastAsia="zh-CN"/>
              </w:rPr>
              <w:t>散装原料</w:t>
            </w:r>
            <w:bookmarkEnd w:id="4"/>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before="71" w:line="229" w:lineRule="auto"/>
              <w:jc w:val="center"/>
              <w:rPr>
                <w:rFonts w:hint="eastAsia" w:ascii="宋体" w:hAnsi="宋体" w:eastAsia="宋体" w:cs="宋体"/>
                <w:kern w:val="2"/>
                <w:sz w:val="22"/>
                <w:szCs w:val="22"/>
                <w:highlight w:val="none"/>
                <w:lang w:val="en-US" w:eastAsia="en-US" w:bidi="ar-SA"/>
              </w:rPr>
            </w:pPr>
            <w:r>
              <w:rPr>
                <w:highlight w:val="none"/>
              </w:rPr>
              <w:t>吨</w:t>
            </w: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highlight w:val="none"/>
                <w:lang w:val="en-US" w:eastAsia="zh-CN"/>
              </w:rPr>
              <w:t>20000</w:t>
            </w:r>
          </w:p>
        </w:tc>
        <w:tc>
          <w:tcPr>
            <w:tcW w:w="3285" w:type="dxa"/>
            <w:vMerge w:val="continue"/>
            <w:tcBorders>
              <w:top w:val="single" w:color="auto" w:sz="4" w:space="0"/>
              <w:left w:val="single" w:color="auto" w:sz="4" w:space="0"/>
              <w:bottom w:val="single" w:color="auto" w:sz="4" w:space="0"/>
              <w:right w:val="single" w:color="auto" w:sz="4" w:space="0"/>
            </w:tcBorders>
          </w:tcPr>
          <w:p>
            <w:pPr>
              <w:rPr>
                <w:rFonts w:ascii="Arial"/>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3" w:hRule="atLeast"/>
        </w:trPr>
        <w:tc>
          <w:tcPr>
            <w:tcW w:w="987" w:type="dxa"/>
            <w:vMerge w:val="continue"/>
            <w:tcBorders>
              <w:top w:val="single" w:color="auto" w:sz="4" w:space="0"/>
              <w:left w:val="single" w:color="auto" w:sz="4" w:space="0"/>
              <w:bottom w:val="single" w:color="auto" w:sz="4" w:space="0"/>
              <w:right w:val="single" w:color="auto" w:sz="4" w:space="0"/>
            </w:tcBorders>
          </w:tcPr>
          <w:p>
            <w:pPr>
              <w:rPr>
                <w:rFonts w:ascii="Arial"/>
                <w:highlight w:val="none"/>
              </w:rPr>
            </w:pPr>
          </w:p>
        </w:tc>
        <w:tc>
          <w:tcPr>
            <w:tcW w:w="856" w:type="dxa"/>
            <w:tcBorders>
              <w:top w:val="single" w:color="auto" w:sz="4" w:space="0"/>
              <w:left w:val="single" w:color="auto" w:sz="4" w:space="0"/>
              <w:bottom w:val="single" w:color="auto" w:sz="4" w:space="0"/>
              <w:right w:val="single" w:color="auto" w:sz="4" w:space="0"/>
            </w:tcBorders>
            <w:vAlign w:val="center"/>
          </w:tcPr>
          <w:p>
            <w:pPr>
              <w:pStyle w:val="23"/>
              <w:spacing w:before="72" w:line="219" w:lineRule="auto"/>
              <w:jc w:val="center"/>
              <w:rPr>
                <w:rFonts w:hint="default" w:eastAsia="宋体"/>
                <w:highlight w:val="none"/>
                <w:lang w:val="en-US" w:eastAsia="zh-CN"/>
              </w:rPr>
            </w:pPr>
            <w:r>
              <w:rPr>
                <w:rFonts w:hint="eastAsia"/>
                <w:spacing w:val="-2"/>
                <w:highlight w:val="none"/>
                <w:lang w:val="en-US" w:eastAsia="zh-CN"/>
              </w:rPr>
              <w:t>吨包料</w:t>
            </w:r>
          </w:p>
        </w:tc>
        <w:tc>
          <w:tcPr>
            <w:tcW w:w="2461"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snapToGrid/>
              <w:spacing w:before="59" w:line="240" w:lineRule="auto"/>
              <w:ind w:right="164"/>
              <w:jc w:val="center"/>
              <w:textAlignment w:val="auto"/>
              <w:rPr>
                <w:rFonts w:hint="default"/>
                <w:highlight w:val="none"/>
                <w:lang w:val="en-US" w:eastAsia="zh-CN"/>
              </w:rPr>
            </w:pPr>
            <w:bookmarkStart w:id="5" w:name="OLE_LINK5"/>
            <w:r>
              <w:rPr>
                <w:rFonts w:hint="eastAsia"/>
                <w:spacing w:val="-1"/>
                <w:highlight w:val="none"/>
                <w:lang w:eastAsia="zh-CN"/>
              </w:rPr>
              <w:t>甜菜颗粒、</w:t>
            </w:r>
            <w:r>
              <w:rPr>
                <w:rFonts w:hint="eastAsia"/>
                <w:spacing w:val="-1"/>
                <w:highlight w:val="none"/>
                <w:lang w:val="en-US" w:eastAsia="zh-CN"/>
              </w:rPr>
              <w:t>半干啤酒糟、</w:t>
            </w:r>
            <w:r>
              <w:rPr>
                <w:rFonts w:hint="eastAsia"/>
                <w:spacing w:val="-1"/>
                <w:highlight w:val="none"/>
                <w:lang w:eastAsia="zh-CN"/>
              </w:rPr>
              <w:t>预混料类等</w:t>
            </w:r>
            <w:r>
              <w:rPr>
                <w:rFonts w:hint="eastAsia"/>
                <w:spacing w:val="-1"/>
                <w:highlight w:val="none"/>
                <w:lang w:val="en-US" w:eastAsia="zh-CN"/>
              </w:rPr>
              <w:t>大白包装原料</w:t>
            </w:r>
            <w:bookmarkEnd w:id="5"/>
          </w:p>
        </w:tc>
        <w:tc>
          <w:tcPr>
            <w:tcW w:w="907" w:type="dxa"/>
            <w:tcBorders>
              <w:top w:val="single" w:color="auto" w:sz="4" w:space="0"/>
              <w:left w:val="single" w:color="auto" w:sz="4" w:space="0"/>
              <w:bottom w:val="single" w:color="auto" w:sz="4" w:space="0"/>
              <w:right w:val="single" w:color="auto" w:sz="4" w:space="0"/>
            </w:tcBorders>
            <w:vAlign w:val="center"/>
          </w:tcPr>
          <w:p>
            <w:pPr>
              <w:pStyle w:val="23"/>
              <w:spacing w:before="71" w:line="229" w:lineRule="auto"/>
              <w:jc w:val="center"/>
              <w:rPr>
                <w:rFonts w:hint="eastAsia"/>
                <w:highlight w:val="none"/>
              </w:rPr>
            </w:pPr>
            <w:r>
              <w:rPr>
                <w:highlight w:val="none"/>
              </w:rPr>
              <w:t>吨</w:t>
            </w: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highlight w:val="none"/>
                <w:lang w:val="en-US" w:eastAsia="zh-CN"/>
              </w:rPr>
              <w:t>1000</w:t>
            </w:r>
          </w:p>
        </w:tc>
        <w:tc>
          <w:tcPr>
            <w:tcW w:w="3285" w:type="dxa"/>
            <w:vMerge w:val="continue"/>
            <w:tcBorders>
              <w:top w:val="single" w:color="auto" w:sz="4" w:space="0"/>
              <w:left w:val="single" w:color="auto" w:sz="4" w:space="0"/>
              <w:bottom w:val="single" w:color="auto" w:sz="4" w:space="0"/>
              <w:right w:val="single" w:color="auto" w:sz="4" w:space="0"/>
            </w:tcBorders>
          </w:tcPr>
          <w:p>
            <w:pPr>
              <w:rPr>
                <w:rFonts w:ascii="Arial"/>
                <w:highlight w:val="none"/>
              </w:rPr>
            </w:pPr>
          </w:p>
        </w:tc>
      </w:tr>
    </w:tbl>
    <w:p>
      <w:pPr>
        <w:tabs>
          <w:tab w:val="left" w:pos="879"/>
        </w:tabs>
        <w:autoSpaceDE w:val="0"/>
        <w:autoSpaceDN w:val="0"/>
        <w:adjustRightInd w:val="0"/>
        <w:spacing w:line="440" w:lineRule="exact"/>
        <w:rPr>
          <w:rFonts w:hint="eastAsia" w:ascii="宋体" w:hAnsi="宋体" w:eastAsia="宋体" w:cs="Times New Roman"/>
          <w:sz w:val="24"/>
          <w:szCs w:val="24"/>
          <w:highlight w:val="none"/>
          <w:lang w:eastAsia="zh-CN"/>
        </w:rPr>
      </w:pPr>
      <w:r>
        <w:rPr>
          <w:rFonts w:hint="eastAsia" w:ascii="宋体" w:hAnsi="宋体" w:eastAsia="宋体" w:cs="Times New Roman"/>
          <w:b/>
          <w:color w:val="000000"/>
          <w:sz w:val="24"/>
          <w:szCs w:val="24"/>
          <w:highlight w:val="none"/>
        </w:rPr>
        <w:t>三、付款方式</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1、履约保证金收取金额为年</w:t>
      </w:r>
      <w:r>
        <w:rPr>
          <w:rFonts w:hint="eastAsia" w:ascii="宋体" w:hAnsi="宋体" w:eastAsia="宋体" w:cs="宋体"/>
          <w:sz w:val="24"/>
          <w:szCs w:val="24"/>
          <w:highlight w:val="yellow"/>
          <w:lang w:val="en-US" w:eastAsia="zh-CN"/>
        </w:rPr>
        <w:t>中标总</w:t>
      </w:r>
      <w:r>
        <w:rPr>
          <w:rFonts w:hint="eastAsia" w:ascii="宋体" w:hAnsi="宋体" w:eastAsia="宋体" w:cs="宋体"/>
          <w:sz w:val="24"/>
          <w:szCs w:val="24"/>
          <w:highlight w:val="none"/>
          <w:lang w:val="en-US" w:eastAsia="zh-CN"/>
        </w:rPr>
        <w:t>费用的5%；履约保证金由中标方在收到中标通知书之后签订合同之前交于招标方；</w:t>
      </w:r>
      <w:r>
        <w:rPr>
          <w:rFonts w:hint="eastAsia" w:ascii="宋体" w:hAnsi="宋体" w:eastAsia="宋体" w:cs="宋体"/>
          <w:sz w:val="24"/>
          <w:szCs w:val="24"/>
          <w:highlight w:val="none"/>
        </w:rPr>
        <w:t>合同执行完后，期间无违约情况发生，</w:t>
      </w:r>
      <w:r>
        <w:rPr>
          <w:rFonts w:hint="eastAsia" w:ascii="宋体" w:hAnsi="宋体" w:eastAsia="宋体" w:cs="宋体"/>
          <w:sz w:val="24"/>
          <w:szCs w:val="24"/>
          <w:highlight w:val="none"/>
          <w:lang w:val="en-US" w:eastAsia="zh-CN"/>
        </w:rPr>
        <w:t>招标方</w:t>
      </w:r>
      <w:r>
        <w:rPr>
          <w:rFonts w:hint="eastAsia" w:ascii="宋体" w:hAnsi="宋体" w:eastAsia="宋体" w:cs="宋体"/>
          <w:sz w:val="24"/>
          <w:szCs w:val="24"/>
          <w:highlight w:val="none"/>
        </w:rPr>
        <w:t>一次性无息退还履约保证金。</w:t>
      </w:r>
    </w:p>
    <w:p>
      <w:pPr>
        <w:spacing w:line="360" w:lineRule="auto"/>
        <w:ind w:firstLine="480" w:firstLineChars="200"/>
        <w:rPr>
          <w:rFonts w:hint="eastAsia" w:ascii="宋体" w:hAnsi="宋体" w:eastAsia="宋体" w:cs="宋体"/>
          <w:sz w:val="24"/>
          <w:szCs w:val="24"/>
          <w:highlight w:val="none"/>
        </w:rPr>
      </w:pPr>
      <w:r>
        <w:rPr>
          <w:rFonts w:hint="eastAsia" w:ascii="方正仿宋_GBK" w:hAnsi="方正仿宋_GBK" w:eastAsia="方正仿宋_GBK" w:cs="方正仿宋_GBK"/>
          <w:kern w:val="0"/>
          <w:sz w:val="24"/>
          <w:szCs w:val="24"/>
          <w:highlight w:val="none"/>
          <w:lang w:val="en-US" w:eastAsia="zh-CN"/>
        </w:rPr>
        <w:t>2、</w:t>
      </w:r>
      <w:r>
        <w:rPr>
          <w:rFonts w:hint="eastAsia" w:ascii="宋体" w:hAnsi="宋体" w:eastAsia="宋体" w:cs="宋体"/>
          <w:sz w:val="24"/>
          <w:szCs w:val="24"/>
          <w:highlight w:val="none"/>
        </w:rPr>
        <w:t>实行月结，即按每月截止月底</w:t>
      </w:r>
      <w:r>
        <w:rPr>
          <w:rFonts w:hint="eastAsia" w:ascii="宋体" w:hAnsi="宋体" w:eastAsia="宋体" w:cs="宋体"/>
          <w:sz w:val="24"/>
          <w:szCs w:val="24"/>
          <w:highlight w:val="none"/>
          <w:lang w:val="en-US" w:eastAsia="zh-CN"/>
        </w:rPr>
        <w:t>最后一天</w:t>
      </w:r>
      <w:r>
        <w:rPr>
          <w:rFonts w:hint="eastAsia" w:ascii="宋体" w:hAnsi="宋体" w:eastAsia="宋体" w:cs="宋体"/>
          <w:sz w:val="24"/>
          <w:szCs w:val="24"/>
          <w:highlight w:val="none"/>
        </w:rPr>
        <w:t>的实际</w:t>
      </w:r>
      <w:r>
        <w:rPr>
          <w:rFonts w:hint="eastAsia" w:ascii="宋体" w:hAnsi="宋体" w:eastAsia="宋体" w:cs="宋体"/>
          <w:sz w:val="24"/>
          <w:szCs w:val="24"/>
          <w:highlight w:val="none"/>
          <w:lang w:val="en-US" w:eastAsia="zh-CN"/>
        </w:rPr>
        <w:t>原料使用数</w:t>
      </w:r>
      <w:r>
        <w:rPr>
          <w:rFonts w:hint="eastAsia" w:ascii="宋体" w:hAnsi="宋体" w:eastAsia="宋体" w:cs="宋体"/>
          <w:sz w:val="24"/>
          <w:szCs w:val="24"/>
          <w:highlight w:val="none"/>
        </w:rPr>
        <w:t>量进行结算，收到发票后10个工作日内支付。</w:t>
      </w:r>
    </w:p>
    <w:p>
      <w:pPr>
        <w:spacing w:line="360" w:lineRule="auto"/>
        <w:ind w:firstLine="482" w:firstLineChars="200"/>
        <w:rPr>
          <w:rFonts w:hint="eastAsia" w:ascii="宋体" w:hAnsi="宋体" w:eastAsia="宋体" w:cs="Times New Roman"/>
          <w:b/>
          <w:color w:val="000000"/>
          <w:sz w:val="24"/>
          <w:szCs w:val="24"/>
          <w:highlight w:val="none"/>
        </w:rPr>
      </w:pPr>
      <w:r>
        <w:rPr>
          <w:rFonts w:hint="eastAsia" w:ascii="宋体" w:hAnsi="宋体" w:eastAsia="宋体" w:cs="Times New Roman"/>
          <w:b/>
          <w:color w:val="000000"/>
          <w:sz w:val="24"/>
          <w:szCs w:val="24"/>
          <w:highlight w:val="none"/>
        </w:rPr>
        <w:t>四、招标文件发布及获取方式</w:t>
      </w:r>
    </w:p>
    <w:p>
      <w:pPr>
        <w:spacing w:line="360" w:lineRule="auto"/>
        <w:ind w:firstLine="480" w:firstLineChars="20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（一）时间：</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3月16日</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3月23日</w:t>
      </w:r>
    </w:p>
    <w:p>
      <w:pPr>
        <w:autoSpaceDE w:val="0"/>
        <w:autoSpaceDN w:val="0"/>
        <w:adjustRightInd w:val="0"/>
        <w:spacing w:before="78" w:beforeLines="25" w:after="78" w:afterLines="25" w:line="360" w:lineRule="auto"/>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color w:val="000000"/>
          <w:sz w:val="24"/>
          <w:szCs w:val="24"/>
          <w:highlight w:val="none"/>
        </w:rPr>
        <w:t>（二）</w:t>
      </w:r>
      <w:r>
        <w:rPr>
          <w:rFonts w:hint="eastAsia" w:ascii="宋体" w:hAnsi="宋体" w:eastAsia="宋体" w:cs="Times New Roman"/>
          <w:sz w:val="24"/>
          <w:szCs w:val="24"/>
          <w:highlight w:val="none"/>
        </w:rPr>
        <w:t>发布方式：通过中垦牧乳业官网发布http://www.zhongkendairy.com/notice/c1023.html</w:t>
      </w:r>
    </w:p>
    <w:p>
      <w:pPr>
        <w:spacing w:line="360" w:lineRule="auto"/>
        <w:ind w:firstLine="482" w:firstLineChars="200"/>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五、比选响应文件递交</w:t>
      </w:r>
    </w:p>
    <w:p>
      <w:pPr>
        <w:spacing w:line="360" w:lineRule="auto"/>
        <w:ind w:firstLine="480" w:firstLineChars="200"/>
        <w:jc w:val="left"/>
        <w:rPr>
          <w:rFonts w:hint="eastAsia" w:ascii="宋体" w:hAnsi="宋体" w:eastAsia="宋体" w:cs="Times New Roman"/>
          <w:kern w:val="0"/>
          <w:sz w:val="24"/>
          <w:szCs w:val="24"/>
          <w:highlight w:val="none"/>
        </w:rPr>
      </w:pPr>
      <w:r>
        <w:rPr>
          <w:rFonts w:hint="eastAsia" w:ascii="宋体" w:hAnsi="宋体"/>
          <w:kern w:val="0"/>
          <w:sz w:val="24"/>
          <w:szCs w:val="24"/>
          <w:highlight w:val="none"/>
        </w:rPr>
        <w:t>（一）投标文件递交的截止时间：202</w:t>
      </w:r>
      <w:r>
        <w:rPr>
          <w:rFonts w:hint="eastAsia" w:ascii="宋体" w:hAnsi="宋体"/>
          <w:kern w:val="0"/>
          <w:sz w:val="24"/>
          <w:szCs w:val="24"/>
          <w:highlight w:val="none"/>
          <w:lang w:val="en-US" w:eastAsia="zh-CN"/>
        </w:rPr>
        <w:t>6</w:t>
      </w:r>
      <w:r>
        <w:rPr>
          <w:rFonts w:hint="eastAsia" w:ascii="宋体" w:hAnsi="宋体"/>
          <w:kern w:val="0"/>
          <w:sz w:val="24"/>
          <w:szCs w:val="24"/>
          <w:highlight w:val="none"/>
        </w:rPr>
        <w:t>年</w:t>
      </w:r>
      <w:r>
        <w:rPr>
          <w:rFonts w:hint="eastAsia" w:ascii="宋体" w:hAnsi="宋体"/>
          <w:kern w:val="0"/>
          <w:sz w:val="24"/>
          <w:szCs w:val="24"/>
          <w:highlight w:val="none"/>
          <w:lang w:val="en-US" w:eastAsia="zh-CN"/>
        </w:rPr>
        <w:t>3月23日</w:t>
      </w:r>
      <w:r>
        <w:rPr>
          <w:rFonts w:hint="eastAsia" w:ascii="宋体" w:hAnsi="宋体"/>
          <w:kern w:val="0"/>
          <w:sz w:val="24"/>
          <w:szCs w:val="24"/>
          <w:highlight w:val="none"/>
        </w:rPr>
        <w:t>10:00；</w:t>
      </w:r>
      <w:r>
        <w:rPr>
          <w:rFonts w:hint="eastAsia" w:ascii="宋体" w:hAnsi="宋体" w:eastAsia="宋体" w:cs="Times New Roman"/>
          <w:kern w:val="0"/>
          <w:sz w:val="24"/>
          <w:szCs w:val="24"/>
          <w:highlight w:val="none"/>
        </w:rPr>
        <w:t>逾期送达的或者未送达指定地点的投标文件，将不予受理。</w:t>
      </w:r>
    </w:p>
    <w:p>
      <w:pPr>
        <w:spacing w:line="360" w:lineRule="auto"/>
        <w:ind w:firstLine="480" w:firstLineChars="200"/>
        <w:rPr>
          <w:rFonts w:hint="eastAsia" w:ascii="宋体" w:hAnsi="宋体" w:eastAsia="宋体" w:cs="Times New Roman"/>
          <w:color w:val="000000"/>
          <w:sz w:val="24"/>
          <w:szCs w:val="24"/>
          <w:highlight w:val="none"/>
        </w:rPr>
      </w:pPr>
      <w:r>
        <w:rPr>
          <w:rFonts w:hint="eastAsia" w:ascii="宋体" w:hAnsi="宋体" w:eastAsia="宋体" w:cs="Times New Roman"/>
          <w:kern w:val="0"/>
          <w:sz w:val="24"/>
          <w:szCs w:val="24"/>
          <w:highlight w:val="none"/>
        </w:rPr>
        <w:t>（二）投标单位将投标文件含正、副各一本密封后用送至我公司，送达地点：陕西省大荔县韦林镇</w:t>
      </w:r>
      <w:r>
        <w:rPr>
          <w:rFonts w:hint="eastAsia" w:ascii="宋体" w:hAnsi="宋体" w:eastAsia="宋体" w:cs="Times New Roman"/>
          <w:kern w:val="0"/>
          <w:sz w:val="24"/>
          <w:szCs w:val="24"/>
          <w:highlight w:val="none"/>
          <w:lang w:val="en-US" w:eastAsia="zh-CN"/>
        </w:rPr>
        <w:t>果园</w:t>
      </w:r>
      <w:r>
        <w:rPr>
          <w:rFonts w:hint="eastAsia" w:ascii="宋体" w:hAnsi="宋体" w:eastAsia="宋体" w:cs="Times New Roman"/>
          <w:sz w:val="24"/>
          <w:szCs w:val="24"/>
          <w:highlight w:val="none"/>
          <w:lang w:val="zh-CN"/>
        </w:rPr>
        <w:t>中垦牧（陕西）牧业有限公司</w:t>
      </w:r>
      <w:r>
        <w:rPr>
          <w:rFonts w:hint="eastAsia" w:ascii="宋体" w:hAnsi="宋体" w:eastAsia="宋体" w:cs="Times New Roman"/>
          <w:kern w:val="0"/>
          <w:sz w:val="24"/>
          <w:szCs w:val="24"/>
          <w:highlight w:val="none"/>
        </w:rPr>
        <w:t>大荔分公司，收件人：</w:t>
      </w:r>
      <w:r>
        <w:rPr>
          <w:rFonts w:hint="eastAsia" w:ascii="宋体" w:hAnsi="宋体" w:eastAsia="宋体" w:cs="Times New Roman"/>
          <w:color w:val="000000"/>
          <w:sz w:val="24"/>
          <w:szCs w:val="24"/>
          <w:highlight w:val="none"/>
        </w:rPr>
        <w:t>谈超龙</w:t>
      </w:r>
      <w:r>
        <w:rPr>
          <w:rFonts w:hint="eastAsia" w:ascii="宋体" w:hAnsi="宋体" w:eastAsia="宋体" w:cs="Times New Roman"/>
          <w:kern w:val="0"/>
          <w:sz w:val="24"/>
          <w:szCs w:val="24"/>
          <w:highlight w:val="none"/>
        </w:rPr>
        <w:t>，联系电话：</w:t>
      </w:r>
      <w:r>
        <w:rPr>
          <w:rFonts w:hint="eastAsia" w:ascii="宋体" w:hAnsi="宋体" w:eastAsia="宋体"/>
          <w:color w:val="000000"/>
          <w:sz w:val="24"/>
          <w:szCs w:val="24"/>
          <w:highlight w:val="none"/>
        </w:rPr>
        <w:t>18191738443</w:t>
      </w:r>
      <w:r>
        <w:rPr>
          <w:rFonts w:hint="eastAsia" w:ascii="宋体" w:hAnsi="宋体" w:eastAsia="宋体" w:cs="Times New Roman"/>
          <w:kern w:val="0"/>
          <w:sz w:val="24"/>
          <w:szCs w:val="24"/>
          <w:highlight w:val="none"/>
        </w:rPr>
        <w:t>。</w:t>
      </w:r>
    </w:p>
    <w:p>
      <w:pPr>
        <w:spacing w:line="360" w:lineRule="auto"/>
        <w:rPr>
          <w:rFonts w:hint="eastAsia" w:ascii="宋体" w:hAnsi="宋体" w:eastAsia="宋体" w:cs="Times New Roman"/>
          <w:b/>
          <w:color w:val="000000"/>
          <w:sz w:val="24"/>
          <w:szCs w:val="24"/>
          <w:highlight w:val="none"/>
        </w:rPr>
      </w:pPr>
      <w:r>
        <w:rPr>
          <w:rFonts w:hint="eastAsia" w:ascii="宋体" w:hAnsi="宋体" w:eastAsia="宋体" w:cs="Times New Roman"/>
          <w:b/>
          <w:color w:val="000000"/>
          <w:sz w:val="24"/>
          <w:szCs w:val="24"/>
          <w:highlight w:val="none"/>
        </w:rPr>
        <w:t xml:space="preserve">   六、开标</w:t>
      </w:r>
    </w:p>
    <w:p>
      <w:pPr>
        <w:spacing w:line="360" w:lineRule="auto"/>
        <w:ind w:firstLine="480" w:firstLineChars="20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（一）开标时间：</w:t>
      </w:r>
      <w:r>
        <w:rPr>
          <w:rFonts w:hint="eastAsia" w:ascii="宋体" w:hAnsi="宋体" w:eastAsia="宋体" w:cs="Times New Roman"/>
          <w:sz w:val="24"/>
          <w:szCs w:val="24"/>
          <w:highlight w:val="none"/>
        </w:rPr>
        <w:t>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3月23日</w:t>
      </w:r>
      <w:r>
        <w:rPr>
          <w:rFonts w:hint="eastAsia" w:ascii="宋体" w:hAnsi="宋体" w:eastAsia="宋体" w:cs="Times New Roman"/>
          <w:sz w:val="24"/>
          <w:szCs w:val="24"/>
          <w:highlight w:val="none"/>
        </w:rPr>
        <w:t>10:</w:t>
      </w:r>
      <w:r>
        <w:rPr>
          <w:rFonts w:hint="eastAsia" w:ascii="宋体" w:hAnsi="宋体" w:cs="Times New Roman"/>
          <w:sz w:val="24"/>
          <w:szCs w:val="24"/>
          <w:highlight w:val="none"/>
        </w:rPr>
        <w:t>0</w:t>
      </w:r>
      <w:r>
        <w:rPr>
          <w:rFonts w:hint="eastAsia" w:ascii="宋体" w:hAnsi="宋体" w:eastAsia="宋体" w:cs="Times New Roman"/>
          <w:sz w:val="24"/>
          <w:szCs w:val="24"/>
          <w:highlight w:val="none"/>
        </w:rPr>
        <w:t>0</w:t>
      </w:r>
      <w:r>
        <w:rPr>
          <w:rFonts w:hint="eastAsia" w:ascii="宋体" w:hAnsi="宋体" w:eastAsia="宋体" w:cs="Times New Roman"/>
          <w:color w:val="000000"/>
          <w:sz w:val="24"/>
          <w:szCs w:val="24"/>
          <w:highlight w:val="none"/>
        </w:rPr>
        <w:t>。</w:t>
      </w:r>
    </w:p>
    <w:p>
      <w:pPr>
        <w:spacing w:line="360" w:lineRule="auto"/>
        <w:ind w:firstLine="480" w:firstLineChars="20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（二）开标地点：中垦牧（陕西）牧业有限公司大荔分公司</w:t>
      </w:r>
      <w:r>
        <w:rPr>
          <w:rFonts w:hint="eastAsia" w:ascii="宋体" w:hAnsi="宋体" w:eastAsia="宋体" w:cs="Times New Roman"/>
          <w:color w:val="000000"/>
          <w:sz w:val="24"/>
          <w:szCs w:val="24"/>
          <w:highlight w:val="none"/>
          <w:lang w:val="en-US" w:eastAsia="zh-CN"/>
        </w:rPr>
        <w:t>办公楼</w:t>
      </w:r>
      <w:r>
        <w:rPr>
          <w:rFonts w:hint="eastAsia" w:ascii="宋体" w:hAnsi="宋体" w:eastAsia="宋体" w:cs="Times New Roman"/>
          <w:color w:val="000000"/>
          <w:sz w:val="24"/>
          <w:szCs w:val="24"/>
          <w:highlight w:val="none"/>
        </w:rPr>
        <w:t>会议室。</w:t>
      </w:r>
    </w:p>
    <w:p>
      <w:pPr>
        <w:spacing w:line="360" w:lineRule="auto"/>
        <w:ind w:firstLine="482" w:firstLineChars="200"/>
        <w:rPr>
          <w:rFonts w:hint="eastAsia" w:ascii="宋体" w:hAnsi="宋体" w:eastAsia="宋体" w:cs="Times New Roman"/>
          <w:color w:val="000000"/>
          <w:sz w:val="24"/>
          <w:szCs w:val="24"/>
          <w:highlight w:val="none"/>
        </w:rPr>
      </w:pPr>
      <w:r>
        <w:rPr>
          <w:rFonts w:hint="eastAsia" w:ascii="宋体" w:hAnsi="宋体" w:eastAsia="宋体" w:cs="Times New Roman"/>
          <w:b/>
          <w:sz w:val="24"/>
          <w:szCs w:val="24"/>
          <w:highlight w:val="none"/>
        </w:rPr>
        <w:t>七、咨询</w:t>
      </w:r>
    </w:p>
    <w:p>
      <w:pPr>
        <w:spacing w:line="360" w:lineRule="auto"/>
        <w:ind w:firstLine="480" w:firstLineChars="200"/>
        <w:rPr>
          <w:rFonts w:hint="eastAsia" w:ascii="宋体" w:hAnsi="宋体" w:eastAsia="宋体" w:cs="Times New Roman"/>
          <w:color w:val="FF0000"/>
          <w:sz w:val="24"/>
          <w:szCs w:val="24"/>
          <w:highlight w:val="none"/>
        </w:rPr>
      </w:pPr>
      <w:r>
        <w:rPr>
          <w:rFonts w:hint="eastAsia" w:ascii="宋体" w:hAnsi="宋体" w:eastAsia="宋体" w:cs="Times New Roman"/>
          <w:sz w:val="24"/>
          <w:szCs w:val="24"/>
          <w:highlight w:val="none"/>
        </w:rPr>
        <w:t>咨询截止时间：202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3</w:t>
      </w:r>
      <w:r>
        <w:rPr>
          <w:rFonts w:hint="eastAsia" w:ascii="宋体" w:hAnsi="宋体" w:eastAsia="宋体" w:cs="Times New Roman"/>
          <w:color w:val="000000"/>
          <w:sz w:val="24"/>
          <w:szCs w:val="24"/>
          <w:highlight w:val="none"/>
        </w:rPr>
        <w:t>月</w:t>
      </w:r>
      <w:r>
        <w:rPr>
          <w:rFonts w:hint="eastAsia" w:ascii="宋体" w:hAnsi="宋体" w:eastAsia="宋体" w:cs="Times New Roman"/>
          <w:color w:val="000000"/>
          <w:sz w:val="24"/>
          <w:szCs w:val="24"/>
          <w:highlight w:val="none"/>
          <w:lang w:val="en-US" w:eastAsia="zh-CN"/>
        </w:rPr>
        <w:t>22</w:t>
      </w:r>
      <w:r>
        <w:rPr>
          <w:rFonts w:hint="eastAsia" w:ascii="宋体" w:hAnsi="宋体" w:eastAsia="宋体" w:cs="Times New Roman"/>
          <w:color w:val="000000"/>
          <w:sz w:val="24"/>
          <w:szCs w:val="24"/>
          <w:highlight w:val="none"/>
        </w:rPr>
        <w:t>日</w:t>
      </w:r>
      <w:r>
        <w:rPr>
          <w:rFonts w:hint="eastAsia" w:ascii="宋体" w:hAnsi="宋体" w:eastAsia="宋体" w:cs="Times New Roman"/>
          <w:sz w:val="24"/>
          <w:szCs w:val="24"/>
          <w:highlight w:val="none"/>
        </w:rPr>
        <w:t>18:00前，咨询方式为电话咨询或现场踏勘。</w:t>
      </w:r>
    </w:p>
    <w:p>
      <w:pPr>
        <w:spacing w:line="360" w:lineRule="auto"/>
        <w:ind w:firstLine="480" w:firstLineChars="200"/>
        <w:rPr>
          <w:rFonts w:hint="eastAsia" w:ascii="宋体" w:hAnsi="宋体"/>
          <w:color w:val="000000"/>
          <w:sz w:val="24"/>
          <w:szCs w:val="24"/>
          <w:highlight w:val="none"/>
        </w:rPr>
      </w:pPr>
      <w:r>
        <w:rPr>
          <w:rFonts w:hint="eastAsia" w:ascii="宋体" w:hAnsi="宋体" w:eastAsia="宋体" w:cs="Times New Roman"/>
          <w:color w:val="000000"/>
          <w:sz w:val="24"/>
          <w:szCs w:val="24"/>
          <w:highlight w:val="none"/>
        </w:rPr>
        <w:t xml:space="preserve">联系人：谈超龙 </w:t>
      </w:r>
      <w:r>
        <w:rPr>
          <w:rFonts w:hint="eastAsia" w:ascii="宋体" w:hAnsi="宋体" w:cs="Times New Roman"/>
          <w:color w:val="000000"/>
          <w:sz w:val="24"/>
          <w:szCs w:val="24"/>
          <w:highlight w:val="none"/>
        </w:rPr>
        <w:t xml:space="preserve">    </w:t>
      </w:r>
      <w:r>
        <w:rPr>
          <w:rFonts w:hint="eastAsia" w:ascii="宋体" w:hAnsi="宋体" w:eastAsia="宋体" w:cs="Times New Roman"/>
          <w:color w:val="000000"/>
          <w:sz w:val="24"/>
          <w:szCs w:val="24"/>
          <w:highlight w:val="none"/>
        </w:rPr>
        <w:t xml:space="preserve"> 电话：</w:t>
      </w:r>
      <w:r>
        <w:rPr>
          <w:rFonts w:hint="eastAsia" w:ascii="宋体" w:hAnsi="宋体" w:eastAsia="宋体"/>
          <w:color w:val="000000"/>
          <w:sz w:val="24"/>
          <w:szCs w:val="24"/>
          <w:highlight w:val="none"/>
        </w:rPr>
        <w:t>18191738443</w:t>
      </w:r>
      <w:r>
        <w:rPr>
          <w:rFonts w:hint="eastAsia" w:ascii="宋体" w:hAnsi="宋体"/>
          <w:color w:val="000000"/>
          <w:sz w:val="24"/>
          <w:szCs w:val="24"/>
          <w:highlight w:val="none"/>
        </w:rPr>
        <w:t xml:space="preserve"> </w:t>
      </w:r>
    </w:p>
    <w:p>
      <w:pPr>
        <w:spacing w:line="360" w:lineRule="auto"/>
        <w:ind w:left="552" w:hanging="552" w:hangingChars="230"/>
        <w:rPr>
          <w:rFonts w:hint="eastAsia" w:ascii="宋体" w:hAnsi="宋体" w:eastAsia="宋体" w:cs="Times New Roman"/>
          <w:b/>
          <w:color w:val="000000"/>
          <w:spacing w:val="10"/>
          <w:sz w:val="24"/>
          <w:szCs w:val="24"/>
          <w:highlight w:val="none"/>
        </w:rPr>
      </w:pPr>
      <w:r>
        <w:rPr>
          <w:rFonts w:hint="eastAsia" w:ascii="宋体" w:hAnsi="宋体" w:eastAsia="宋体" w:cs="Times New Roman"/>
          <w:color w:val="000000"/>
          <w:sz w:val="24"/>
          <w:szCs w:val="24"/>
          <w:highlight w:val="none"/>
        </w:rPr>
        <w:t xml:space="preserve">   </w:t>
      </w:r>
      <w:r>
        <w:rPr>
          <w:rFonts w:hint="eastAsia" w:ascii="宋体" w:hAnsi="宋体" w:eastAsia="宋体" w:cs="Times New Roman"/>
          <w:color w:val="000000"/>
          <w:spacing w:val="10"/>
          <w:sz w:val="24"/>
          <w:szCs w:val="24"/>
          <w:highlight w:val="none"/>
        </w:rPr>
        <w:t xml:space="preserve"> </w:t>
      </w:r>
      <w:r>
        <w:rPr>
          <w:rFonts w:hint="eastAsia" w:ascii="宋体" w:hAnsi="宋体" w:eastAsia="宋体" w:cs="Times New Roman"/>
          <w:b/>
          <w:color w:val="000000"/>
          <w:spacing w:val="10"/>
          <w:sz w:val="24"/>
          <w:szCs w:val="24"/>
          <w:highlight w:val="none"/>
        </w:rPr>
        <w:t>八、投标保证金按以下要求办理</w:t>
      </w:r>
    </w:p>
    <w:p>
      <w:pPr>
        <w:spacing w:line="440" w:lineRule="exact"/>
        <w:ind w:firstLine="480" w:firstLineChars="200"/>
        <w:rPr>
          <w:rFonts w:hint="eastAsia" w:ascii="宋体" w:hAnsi="宋体"/>
          <w:color w:val="000000"/>
          <w:sz w:val="24"/>
          <w:szCs w:val="24"/>
          <w:highlight w:val="none"/>
        </w:rPr>
      </w:pPr>
      <w:r>
        <w:rPr>
          <w:rFonts w:hint="eastAsia" w:ascii="宋体" w:hAnsi="宋体" w:eastAsia="宋体" w:cs="Times New Roman"/>
          <w:sz w:val="24"/>
          <w:szCs w:val="24"/>
          <w:highlight w:val="none"/>
        </w:rPr>
        <w:t>（一）投标单位在开标前向发标单位缴纳</w:t>
      </w:r>
      <w:r>
        <w:rPr>
          <w:rFonts w:hint="eastAsia" w:ascii="宋体" w:hAnsi="宋体" w:cs="Times New Roman"/>
          <w:sz w:val="24"/>
          <w:szCs w:val="24"/>
          <w:highlight w:val="none"/>
        </w:rPr>
        <w:t>人民币</w:t>
      </w:r>
      <w:r>
        <w:rPr>
          <w:rFonts w:hint="eastAsia" w:ascii="宋体" w:hAnsi="宋体" w:cs="Times New Roman"/>
          <w:b/>
          <w:bCs/>
          <w:sz w:val="24"/>
          <w:szCs w:val="24"/>
          <w:highlight w:val="none"/>
        </w:rPr>
        <w:t>壹万肆仟元</w:t>
      </w:r>
      <w:r>
        <w:rPr>
          <w:rFonts w:hint="eastAsia" w:ascii="宋体" w:hAnsi="宋体" w:eastAsia="宋体" w:cs="Times New Roman"/>
          <w:sz w:val="24"/>
          <w:szCs w:val="24"/>
          <w:highlight w:val="none"/>
        </w:rPr>
        <w:t>投标保证金，并备注“大荔</w:t>
      </w:r>
      <w:r>
        <w:rPr>
          <w:rFonts w:hint="eastAsia" w:ascii="宋体" w:hAnsi="宋体" w:eastAsia="宋体" w:cs="Times New Roman"/>
          <w:sz w:val="24"/>
          <w:szCs w:val="24"/>
          <w:highlight w:val="none"/>
          <w:lang w:val="en-US" w:eastAsia="zh-CN"/>
        </w:rPr>
        <w:t>牧场</w:t>
      </w:r>
      <w:r>
        <w:rPr>
          <w:rFonts w:hint="eastAsia" w:ascii="宋体" w:hAnsi="宋体" w:eastAsia="宋体" w:cs="Times New Roman"/>
          <w:sz w:val="24"/>
          <w:szCs w:val="24"/>
          <w:highlight w:val="none"/>
        </w:rPr>
        <w:t>卸料及倒料劳务外包投标保证金”。投标人应于202</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3月23日</w:t>
      </w:r>
      <w:r>
        <w:rPr>
          <w:rFonts w:hint="eastAsia" w:ascii="宋体" w:hAnsi="宋体" w:eastAsia="宋体" w:cs="Times New Roman"/>
          <w:sz w:val="24"/>
          <w:szCs w:val="24"/>
          <w:highlight w:val="none"/>
        </w:rPr>
        <w:t>10时前，将投标保证金电汇回单通过微信发给招标方联系人（回单作为甲方退还未中标投标人保证金的凭证），未在规定时间内发送回单的视为未响应本次比选活动，招标方届时恕不接受其递交的比选响应文件。</w:t>
      </w:r>
      <w:r>
        <w:rPr>
          <w:rFonts w:hint="eastAsia" w:ascii="宋体" w:hAnsi="宋体" w:eastAsia="宋体" w:cs="宋体"/>
          <w:sz w:val="24"/>
          <w:szCs w:val="24"/>
          <w:highlight w:val="none"/>
          <w:lang w:val="en-US" w:eastAsia="zh-CN"/>
        </w:rPr>
        <w:t>投标保证金在招标方与中标人签订了该合同后7个工作日内无息支付</w:t>
      </w:r>
      <w:r>
        <w:rPr>
          <w:rFonts w:hint="eastAsia" w:ascii="宋体" w:hAnsi="宋体" w:eastAsia="宋体" w:cs="宋体"/>
          <w:sz w:val="24"/>
          <w:szCs w:val="24"/>
          <w:highlight w:val="none"/>
          <w:lang w:eastAsia="zh-CN"/>
        </w:rPr>
        <w:t>。</w:t>
      </w:r>
    </w:p>
    <w:p>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（二）投标保证金电汇地址：</w:t>
      </w:r>
    </w:p>
    <w:p>
      <w:pPr>
        <w:widowControl/>
        <w:autoSpaceDE w:val="0"/>
        <w:autoSpaceDN w:val="0"/>
        <w:adjustRightInd w:val="0"/>
        <w:spacing w:line="360" w:lineRule="auto"/>
        <w:ind w:firstLine="723" w:firstLineChars="300"/>
        <w:rPr>
          <w:rFonts w:hint="eastAsia" w:ascii="宋体" w:hAnsi="宋体" w:eastAsia="宋体" w:cs="Times New Roman"/>
          <w:sz w:val="24"/>
          <w:szCs w:val="24"/>
          <w:highlight w:val="none"/>
        </w:rPr>
      </w:pPr>
      <w:r>
        <w:rPr>
          <w:rFonts w:hint="eastAsia" w:ascii="宋体" w:hAnsi="宋体" w:eastAsia="宋体" w:cs="Times New Roman"/>
          <w:b/>
          <w:bCs/>
          <w:sz w:val="24"/>
          <w:szCs w:val="24"/>
          <w:highlight w:val="none"/>
        </w:rPr>
        <w:t>甲方收款账户信息</w:t>
      </w:r>
      <w:r>
        <w:rPr>
          <w:rFonts w:hint="eastAsia" w:ascii="宋体" w:hAnsi="宋体" w:eastAsia="宋体" w:cs="Times New Roman"/>
          <w:sz w:val="24"/>
          <w:szCs w:val="24"/>
          <w:highlight w:val="none"/>
        </w:rPr>
        <w:t>：</w:t>
      </w:r>
    </w:p>
    <w:p>
      <w:pPr>
        <w:widowControl/>
        <w:autoSpaceDE w:val="0"/>
        <w:autoSpaceDN w:val="0"/>
        <w:adjustRightIn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户名：中垦牧（陕西）牧业有限公司</w:t>
      </w:r>
    </w:p>
    <w:p>
      <w:pPr>
        <w:widowControl/>
        <w:autoSpaceDE w:val="0"/>
        <w:autoSpaceDN w:val="0"/>
        <w:adjustRightIn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开户行：中国农业银行股份有限公司华阴市支行</w:t>
      </w:r>
    </w:p>
    <w:p>
      <w:pPr>
        <w:widowControl/>
        <w:autoSpaceDE w:val="0"/>
        <w:autoSpaceDN w:val="0"/>
        <w:adjustRightIn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账户：26515201040020721</w:t>
      </w:r>
    </w:p>
    <w:p>
      <w:pPr>
        <w:widowControl/>
        <w:autoSpaceDE w:val="0"/>
        <w:autoSpaceDN w:val="0"/>
        <w:adjustRightInd w:val="0"/>
        <w:spacing w:line="360" w:lineRule="auto"/>
        <w:ind w:firstLine="723" w:firstLineChars="300"/>
        <w:rPr>
          <w:rFonts w:hint="eastAsia" w:ascii="宋体" w:hAnsi="宋体" w:eastAsia="宋体" w:cs="Times New Roman"/>
          <w:sz w:val="24"/>
          <w:szCs w:val="24"/>
          <w:highlight w:val="none"/>
        </w:rPr>
      </w:pPr>
      <w:r>
        <w:rPr>
          <w:rFonts w:hint="eastAsia" w:ascii="宋体" w:hAnsi="宋体" w:eastAsia="宋体" w:cs="Times New Roman"/>
          <w:b/>
          <w:bCs/>
          <w:sz w:val="24"/>
          <w:szCs w:val="24"/>
          <w:highlight w:val="none"/>
        </w:rPr>
        <w:t>甲方开票信息</w:t>
      </w:r>
      <w:r>
        <w:rPr>
          <w:rFonts w:hint="eastAsia" w:ascii="宋体" w:hAnsi="宋体" w:eastAsia="宋体" w:cs="Times New Roman"/>
          <w:sz w:val="24"/>
          <w:szCs w:val="24"/>
          <w:highlight w:val="none"/>
        </w:rPr>
        <w:t>：</w:t>
      </w:r>
    </w:p>
    <w:p>
      <w:pPr>
        <w:widowControl/>
        <w:autoSpaceDE w:val="0"/>
        <w:autoSpaceDN w:val="0"/>
        <w:adjustRightIn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纳税人名称：中垦牧（陕西）牧业有限公司</w:t>
      </w:r>
    </w:p>
    <w:p>
      <w:pPr>
        <w:widowControl/>
        <w:autoSpaceDE w:val="0"/>
        <w:autoSpaceDN w:val="0"/>
        <w:adjustRightIn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纳税人识别号：91610825MA70CMPQ7L</w:t>
      </w:r>
    </w:p>
    <w:p>
      <w:pPr>
        <w:widowControl/>
        <w:autoSpaceDE w:val="0"/>
        <w:autoSpaceDN w:val="0"/>
        <w:adjustRightIn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开户行：中国农业发展银行定边支行</w:t>
      </w:r>
    </w:p>
    <w:p>
      <w:pPr>
        <w:widowControl/>
        <w:autoSpaceDE w:val="0"/>
        <w:autoSpaceDN w:val="0"/>
        <w:adjustRightIn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账号：20361082500100000357701</w:t>
      </w:r>
    </w:p>
    <w:p>
      <w:pPr>
        <w:widowControl/>
        <w:autoSpaceDE w:val="0"/>
        <w:autoSpaceDN w:val="0"/>
        <w:adjustRightIn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地址：陕西省榆林市定边县贺圈镇五兴庄村红庄自然村组</w:t>
      </w:r>
    </w:p>
    <w:p>
      <w:pPr>
        <w:widowControl/>
        <w:autoSpaceDE w:val="0"/>
        <w:autoSpaceDN w:val="0"/>
        <w:adjustRightIn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电话：13723386261</w:t>
      </w:r>
    </w:p>
    <w:p>
      <w:pPr>
        <w:spacing w:line="360" w:lineRule="auto"/>
        <w:ind w:firstLine="482" w:firstLineChars="200"/>
        <w:jc w:val="left"/>
        <w:rPr>
          <w:rFonts w:hint="eastAsia" w:ascii="宋体" w:hAnsi="宋体" w:eastAsia="宋体" w:cs="宋体"/>
          <w:b/>
          <w:bCs/>
          <w:kern w:val="0"/>
          <w:sz w:val="24"/>
          <w:szCs w:val="24"/>
          <w:highlight w:val="none"/>
          <w:lang w:val="zh-CN"/>
        </w:rPr>
      </w:pPr>
      <w:r>
        <w:rPr>
          <w:rFonts w:hint="eastAsia" w:ascii="宋体" w:hAnsi="宋体" w:eastAsia="宋体" w:cs="宋体"/>
          <w:b/>
          <w:bCs/>
          <w:kern w:val="0"/>
          <w:sz w:val="24"/>
          <w:szCs w:val="24"/>
          <w:highlight w:val="none"/>
        </w:rPr>
        <w:t>九、</w:t>
      </w:r>
      <w:r>
        <w:rPr>
          <w:rFonts w:hint="eastAsia" w:ascii="宋体" w:hAnsi="宋体" w:eastAsia="宋体" w:cs="宋体"/>
          <w:b/>
          <w:bCs/>
          <w:kern w:val="0"/>
          <w:sz w:val="24"/>
          <w:szCs w:val="24"/>
          <w:highlight w:val="none"/>
          <w:lang w:val="zh-CN"/>
        </w:rPr>
        <w:t>参选方资格要求</w:t>
      </w:r>
    </w:p>
    <w:p>
      <w:pPr>
        <w:spacing w:line="440" w:lineRule="exact"/>
        <w:ind w:firstLine="480" w:firstLineChars="20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（一）提供投标人公司法人身份证明文件或法人委托授权书。</w:t>
      </w:r>
    </w:p>
    <w:p>
      <w:pPr>
        <w:spacing w:line="440" w:lineRule="exact"/>
        <w:ind w:firstLine="480" w:firstLineChars="20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（二）提供企业法人营业执照（</w:t>
      </w:r>
      <w:r>
        <w:rPr>
          <w:rFonts w:hint="eastAsia" w:ascii="宋体" w:hAnsi="宋体" w:eastAsia="宋体" w:cs="Times New Roman"/>
          <w:color w:val="000000"/>
          <w:sz w:val="24"/>
          <w:szCs w:val="24"/>
          <w:highlight w:val="none"/>
          <w:lang w:val="en-US" w:eastAsia="zh-CN"/>
        </w:rPr>
        <w:t>经营范围</w:t>
      </w:r>
      <w:r>
        <w:rPr>
          <w:rFonts w:hint="eastAsia" w:ascii="宋体" w:hAnsi="宋体" w:eastAsia="宋体" w:cs="Times New Roman"/>
          <w:color w:val="000000"/>
          <w:sz w:val="24"/>
          <w:szCs w:val="24"/>
          <w:highlight w:val="none"/>
        </w:rPr>
        <w:t>需具备装卸、劳务承包等资质）、基本存款账户信息。</w:t>
      </w:r>
    </w:p>
    <w:p>
      <w:pPr>
        <w:spacing w:line="360" w:lineRule="auto"/>
        <w:ind w:left="479" w:leftChars="228"/>
        <w:rPr>
          <w:rFonts w:hint="eastAsia" w:ascii="新宋体" w:hAnsi="新宋体" w:eastAsia="新宋体" w:cs="新宋体"/>
          <w:bCs/>
          <w:kern w:val="0"/>
          <w:sz w:val="24"/>
          <w:szCs w:val="24"/>
          <w:highlight w:val="none"/>
        </w:rPr>
      </w:pPr>
      <w:r>
        <w:rPr>
          <w:rFonts w:hint="eastAsia" w:ascii="宋体" w:hAnsi="宋体" w:eastAsia="宋体" w:cs="Times New Roman"/>
          <w:color w:val="000000"/>
          <w:sz w:val="24"/>
          <w:szCs w:val="24"/>
          <w:highlight w:val="none"/>
        </w:rPr>
        <w:t>（三）投标方认为必要的其它证明文件。</w:t>
      </w:r>
      <w:r>
        <w:rPr>
          <w:rFonts w:hint="eastAsia" w:ascii="宋体" w:hAnsi="宋体" w:eastAsia="宋体" w:cs="Times New Roman"/>
          <w:color w:val="000000"/>
          <w:sz w:val="24"/>
          <w:szCs w:val="24"/>
          <w:highlight w:val="none"/>
        </w:rPr>
        <w:br w:type="textWrapping"/>
      </w:r>
      <w:r>
        <w:rPr>
          <w:rFonts w:hint="eastAsia" w:ascii="宋体" w:hAnsi="宋体" w:eastAsia="宋体" w:cs="Times New Roman"/>
          <w:color w:val="000000"/>
          <w:sz w:val="24"/>
          <w:szCs w:val="24"/>
          <w:highlight w:val="none"/>
        </w:rPr>
        <w:t>（四）投标的公司提供的资质证明材料应真实、合法、有效。</w:t>
      </w:r>
    </w:p>
    <w:p>
      <w:pPr>
        <w:spacing w:line="360" w:lineRule="auto"/>
        <w:rPr>
          <w:rFonts w:hint="eastAsia" w:ascii="新宋体" w:hAnsi="新宋体" w:eastAsia="新宋体" w:cs="新宋体"/>
          <w:bCs/>
          <w:kern w:val="0"/>
          <w:sz w:val="24"/>
          <w:szCs w:val="24"/>
          <w:highlight w:val="none"/>
        </w:rPr>
      </w:pPr>
    </w:p>
    <w:p>
      <w:pPr>
        <w:spacing w:line="360" w:lineRule="auto"/>
        <w:ind w:firstLine="4080" w:firstLineChars="1700"/>
        <w:rPr>
          <w:rFonts w:hint="eastAsia" w:ascii="新宋体" w:hAnsi="新宋体" w:eastAsia="新宋体" w:cs="新宋体"/>
          <w:bCs/>
          <w:strike/>
          <w:dstrike w:val="0"/>
          <w:kern w:val="0"/>
          <w:sz w:val="24"/>
          <w:szCs w:val="24"/>
          <w:highlight w:val="yellow"/>
        </w:rPr>
      </w:pPr>
      <w:r>
        <w:rPr>
          <w:rFonts w:hint="eastAsia" w:ascii="新宋体" w:hAnsi="新宋体" w:eastAsia="新宋体" w:cs="新宋体"/>
          <w:bCs/>
          <w:kern w:val="0"/>
          <w:sz w:val="24"/>
          <w:szCs w:val="24"/>
          <w:highlight w:val="none"/>
        </w:rPr>
        <w:t>中垦牧（陕西）牧业有限公司</w:t>
      </w:r>
    </w:p>
    <w:p>
      <w:pPr>
        <w:pStyle w:val="21"/>
        <w:spacing w:line="360" w:lineRule="auto"/>
        <w:ind w:firstLine="5342" w:firstLineChars="2226"/>
        <w:rPr>
          <w:highlight w:val="none"/>
        </w:rPr>
      </w:pPr>
      <w:r>
        <w:rPr>
          <w:rFonts w:hint="eastAsia" w:ascii="新宋体" w:hAnsi="新宋体" w:eastAsia="新宋体" w:cs="新宋体"/>
          <w:bCs/>
          <w:kern w:val="0"/>
          <w:sz w:val="24"/>
          <w:szCs w:val="24"/>
          <w:highlight w:val="none"/>
          <w:lang w:val="en-US"/>
        </w:rPr>
        <w:t>202</w:t>
      </w:r>
      <w:r>
        <w:rPr>
          <w:rFonts w:hint="eastAsia" w:ascii="新宋体" w:hAnsi="新宋体" w:eastAsia="新宋体" w:cs="新宋体"/>
          <w:bCs/>
          <w:kern w:val="0"/>
          <w:sz w:val="24"/>
          <w:szCs w:val="24"/>
          <w:highlight w:val="none"/>
          <w:lang w:val="en-US" w:eastAsia="zh-CN"/>
        </w:rPr>
        <w:t>6</w:t>
      </w:r>
      <w:r>
        <w:rPr>
          <w:rFonts w:hint="eastAsia" w:ascii="新宋体" w:hAnsi="新宋体" w:eastAsia="新宋体" w:cs="新宋体"/>
          <w:bCs/>
          <w:kern w:val="0"/>
          <w:sz w:val="24"/>
          <w:szCs w:val="24"/>
          <w:highlight w:val="none"/>
          <w:lang w:val="en-US"/>
        </w:rPr>
        <w:t>年</w:t>
      </w:r>
      <w:r>
        <w:rPr>
          <w:rFonts w:hint="eastAsia" w:ascii="新宋体" w:hAnsi="新宋体" w:eastAsia="新宋体" w:cs="新宋体"/>
          <w:bCs/>
          <w:kern w:val="0"/>
          <w:sz w:val="24"/>
          <w:szCs w:val="24"/>
          <w:highlight w:val="none"/>
          <w:lang w:val="en-US" w:eastAsia="zh-CN"/>
        </w:rPr>
        <w:t>3</w:t>
      </w:r>
      <w:r>
        <w:rPr>
          <w:rFonts w:hint="eastAsia" w:ascii="新宋体" w:hAnsi="新宋体" w:eastAsia="新宋体" w:cs="新宋体"/>
          <w:bCs/>
          <w:kern w:val="0"/>
          <w:sz w:val="24"/>
          <w:szCs w:val="24"/>
          <w:highlight w:val="none"/>
          <w:lang w:val="en-US"/>
        </w:rPr>
        <w:t>月</w:t>
      </w:r>
      <w:r>
        <w:rPr>
          <w:rFonts w:hint="eastAsia" w:ascii="新宋体" w:hAnsi="新宋体" w:eastAsia="新宋体" w:cs="新宋体"/>
          <w:bCs/>
          <w:kern w:val="0"/>
          <w:sz w:val="24"/>
          <w:szCs w:val="24"/>
          <w:highlight w:val="none"/>
          <w:lang w:val="en-US" w:eastAsia="zh-CN"/>
        </w:rPr>
        <w:t>16</w:t>
      </w:r>
      <w:r>
        <w:rPr>
          <w:rFonts w:hint="eastAsia" w:ascii="新宋体" w:hAnsi="新宋体" w:eastAsia="新宋体" w:cs="新宋体"/>
          <w:bCs/>
          <w:kern w:val="0"/>
          <w:sz w:val="24"/>
          <w:szCs w:val="24"/>
          <w:highlight w:val="none"/>
          <w:lang w:val="en-US"/>
        </w:rPr>
        <w:t>日</w:t>
      </w:r>
    </w:p>
    <w:p>
      <w:pPr>
        <w:rPr>
          <w:rFonts w:hint="eastAsia" w:ascii="方正小标宋_GBK" w:hAnsi="方正小标宋_GBK" w:eastAsia="方正小标宋_GBK" w:cs="方正小标宋_GBK"/>
          <w:bCs/>
          <w:kern w:val="0"/>
          <w:sz w:val="44"/>
          <w:szCs w:val="44"/>
          <w:highlight w:val="none"/>
          <w:lang w:val="zh-CN"/>
        </w:rPr>
      </w:pPr>
      <w:r>
        <w:rPr>
          <w:rFonts w:hint="eastAsia" w:ascii="方正小标宋_GBK" w:hAnsi="方正小标宋_GBK" w:eastAsia="方正小标宋_GBK" w:cs="方正小标宋_GBK"/>
          <w:bCs/>
          <w:kern w:val="0"/>
          <w:sz w:val="44"/>
          <w:szCs w:val="44"/>
          <w:highlight w:val="none"/>
          <w:lang w:val="zh-CN"/>
        </w:rPr>
        <w:br w:type="page"/>
      </w:r>
    </w:p>
    <w:bookmarkEnd w:id="0"/>
    <w:p>
      <w:pPr>
        <w:autoSpaceDE w:val="0"/>
        <w:autoSpaceDN w:val="0"/>
        <w:adjustRightInd w:val="0"/>
        <w:spacing w:line="440" w:lineRule="exact"/>
        <w:jc w:val="center"/>
        <w:rPr>
          <w:rFonts w:hint="eastAsia" w:ascii="方正小标宋_GBK" w:hAnsi="方正小标宋_GBK" w:eastAsia="方正小标宋_GBK" w:cs="方正小标宋_GBK"/>
          <w:bCs/>
          <w:kern w:val="0"/>
          <w:sz w:val="44"/>
          <w:szCs w:val="44"/>
          <w:highlight w:val="none"/>
          <w:lang w:val="zh-CN"/>
        </w:rPr>
      </w:pPr>
      <w:r>
        <w:rPr>
          <w:rFonts w:hint="eastAsia" w:ascii="方正小标宋_GBK" w:hAnsi="方正小标宋_GBK" w:eastAsia="方正小标宋_GBK" w:cs="方正小标宋_GBK"/>
          <w:bCs/>
          <w:kern w:val="0"/>
          <w:sz w:val="44"/>
          <w:szCs w:val="44"/>
          <w:highlight w:val="none"/>
          <w:lang w:val="zh-CN"/>
        </w:rPr>
        <w:t>第</w:t>
      </w:r>
      <w:r>
        <w:rPr>
          <w:rFonts w:hint="eastAsia" w:ascii="方正小标宋_GBK" w:hAnsi="方正小标宋_GBK" w:eastAsia="方正小标宋_GBK" w:cs="方正小标宋_GBK"/>
          <w:bCs/>
          <w:kern w:val="0"/>
          <w:sz w:val="44"/>
          <w:szCs w:val="44"/>
          <w:highlight w:val="none"/>
        </w:rPr>
        <w:t>一</w:t>
      </w:r>
      <w:r>
        <w:rPr>
          <w:rFonts w:hint="eastAsia" w:ascii="方正小标宋_GBK" w:hAnsi="方正小标宋_GBK" w:eastAsia="方正小标宋_GBK" w:cs="方正小标宋_GBK"/>
          <w:bCs/>
          <w:kern w:val="0"/>
          <w:sz w:val="44"/>
          <w:szCs w:val="44"/>
          <w:highlight w:val="none"/>
          <w:lang w:val="zh-CN"/>
        </w:rPr>
        <w:t>部分：投标须知</w:t>
      </w:r>
    </w:p>
    <w:tbl>
      <w:tblPr>
        <w:tblStyle w:val="1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4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序号</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内容</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项目名称</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新宋体" w:cs="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大荔牧场</w:t>
            </w:r>
            <w:r>
              <w:rPr>
                <w:rFonts w:hint="eastAsia" w:ascii="新宋体" w:hAnsi="新宋体" w:eastAsia="新宋体" w:cs="新宋体"/>
                <w:kern w:val="0"/>
                <w:sz w:val="24"/>
                <w:szCs w:val="24"/>
                <w:highlight w:val="none"/>
              </w:rPr>
              <w:t>卸料及倒料劳务外包</w:t>
            </w:r>
            <w:r>
              <w:rPr>
                <w:rFonts w:hint="eastAsia" w:ascii="新宋体" w:hAnsi="新宋体" w:eastAsia="新宋体" w:cs="新宋体"/>
                <w:kern w:val="0"/>
                <w:sz w:val="24"/>
                <w:szCs w:val="24"/>
                <w:highlight w:val="no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招标人</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3</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项目地址</w:t>
            </w:r>
          </w:p>
        </w:tc>
        <w:tc>
          <w:tcPr>
            <w:tcW w:w="6662" w:type="dxa"/>
            <w:tcBorders>
              <w:top w:val="single" w:color="auto" w:sz="4" w:space="0"/>
              <w:left w:val="single" w:color="auto" w:sz="4" w:space="0"/>
              <w:bottom w:val="single" w:color="auto" w:sz="4" w:space="0"/>
              <w:right w:val="single" w:color="auto" w:sz="4" w:space="0"/>
            </w:tcBorders>
            <w:noWrap/>
            <w:vAlign w:val="center"/>
          </w:tcPr>
          <w:p>
            <w:pPr>
              <w:tabs>
                <w:tab w:val="left" w:pos="879"/>
              </w:tabs>
              <w:autoSpaceDE w:val="0"/>
              <w:autoSpaceDN w:val="0"/>
              <w:adjustRightInd w:val="0"/>
              <w:spacing w:line="440" w:lineRule="exac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陕西省大荔县韦林镇果园大荔</w:t>
            </w:r>
            <w:r>
              <w:rPr>
                <w:rFonts w:hint="eastAsia" w:ascii="宋体" w:hAnsi="宋体" w:eastAsia="宋体" w:cs="宋体"/>
                <w:kern w:val="0"/>
                <w:sz w:val="24"/>
                <w:szCs w:val="24"/>
                <w:highlight w:val="none"/>
                <w:lang w:val="en-US" w:eastAsia="zh-CN"/>
              </w:rPr>
              <w:t>牧场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联系人及电话</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cs="宋体"/>
                <w:kern w:val="0"/>
                <w:sz w:val="24"/>
                <w:szCs w:val="24"/>
                <w:highlight w:val="none"/>
              </w:rPr>
            </w:pPr>
            <w:r>
              <w:rPr>
                <w:rFonts w:hint="eastAsia" w:ascii="宋体" w:hAnsi="宋体" w:eastAsia="宋体" w:cs="宋体"/>
                <w:kern w:val="0"/>
                <w:sz w:val="24"/>
                <w:szCs w:val="24"/>
                <w:highlight w:val="none"/>
              </w:rPr>
              <w:t>联系人：</w:t>
            </w:r>
            <w:r>
              <w:rPr>
                <w:rFonts w:hint="eastAsia" w:ascii="宋体" w:hAnsi="宋体" w:eastAsia="宋体" w:cs="Times New Roman"/>
                <w:color w:val="000000"/>
                <w:sz w:val="24"/>
                <w:szCs w:val="24"/>
                <w:highlight w:val="none"/>
              </w:rPr>
              <w:t>谈超龙</w:t>
            </w:r>
            <w:r>
              <w:rPr>
                <w:rFonts w:hint="eastAsia" w:ascii="宋体" w:hAnsi="宋体" w:cs="Times New Roman"/>
                <w:color w:val="000000"/>
                <w:sz w:val="24"/>
                <w:szCs w:val="24"/>
                <w:highlight w:val="none"/>
              </w:rPr>
              <w:t xml:space="preserve">    </w:t>
            </w:r>
            <w:r>
              <w:rPr>
                <w:rFonts w:hint="eastAsia" w:ascii="宋体" w:hAnsi="宋体" w:eastAsia="宋体" w:cs="Times New Roman"/>
                <w:color w:val="000000"/>
                <w:sz w:val="24"/>
                <w:szCs w:val="24"/>
                <w:highlight w:val="none"/>
              </w:rPr>
              <w:t>电话：</w:t>
            </w:r>
            <w:r>
              <w:rPr>
                <w:rFonts w:hint="eastAsia" w:ascii="宋体" w:hAnsi="宋体"/>
                <w:color w:val="000000"/>
                <w:sz w:val="24"/>
                <w:szCs w:val="24"/>
                <w:highlight w:val="none"/>
              </w:rPr>
              <w:t>18191738443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参选方资格要求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450" w:lineRule="exact"/>
              <w:rPr>
                <w:rFonts w:hint="eastAsia" w:ascii="宋体" w:hAnsi="宋体"/>
                <w:kern w:val="0"/>
                <w:sz w:val="24"/>
                <w:szCs w:val="24"/>
                <w:highlight w:val="none"/>
              </w:rPr>
            </w:pPr>
            <w:r>
              <w:rPr>
                <w:rFonts w:hint="eastAsia" w:ascii="宋体" w:hAnsi="宋体"/>
                <w:kern w:val="0"/>
                <w:sz w:val="24"/>
                <w:szCs w:val="24"/>
                <w:highlight w:val="none"/>
              </w:rPr>
              <w:t>投标人应具备以下资格条件：</w:t>
            </w:r>
          </w:p>
          <w:p>
            <w:pPr>
              <w:spacing w:line="440" w:lineRule="exac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1、提供投标人公司法人身份证明文件或法人委托委托授权书。</w:t>
            </w:r>
          </w:p>
          <w:p>
            <w:pPr>
              <w:spacing w:line="440" w:lineRule="exac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2、提供企业法人营业执照（</w:t>
            </w:r>
            <w:r>
              <w:rPr>
                <w:rFonts w:hint="eastAsia" w:ascii="宋体" w:hAnsi="宋体" w:eastAsia="宋体" w:cs="Times New Roman"/>
                <w:color w:val="000000"/>
                <w:sz w:val="24"/>
                <w:szCs w:val="24"/>
                <w:highlight w:val="none"/>
                <w:lang w:val="en-US" w:eastAsia="zh-CN"/>
              </w:rPr>
              <w:t>经营范围</w:t>
            </w:r>
            <w:r>
              <w:rPr>
                <w:rFonts w:hint="eastAsia" w:ascii="宋体" w:hAnsi="宋体" w:eastAsia="宋体" w:cs="Times New Roman"/>
                <w:color w:val="000000"/>
                <w:sz w:val="24"/>
                <w:szCs w:val="24"/>
                <w:highlight w:val="none"/>
              </w:rPr>
              <w:t>需具备装卸、劳务承包等资质）、基本存款账户信息。</w:t>
            </w:r>
          </w:p>
          <w:p>
            <w:pPr>
              <w:autoSpaceDE w:val="0"/>
              <w:autoSpaceDN w:val="0"/>
              <w:adjustRightInd w:val="0"/>
              <w:spacing w:before="25" w:after="25" w:line="360" w:lineRule="auto"/>
              <w:jc w:val="lef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3、投标方认为必要的其它证明文件。</w:t>
            </w:r>
          </w:p>
          <w:p>
            <w:pPr>
              <w:autoSpaceDE w:val="0"/>
              <w:autoSpaceDN w:val="0"/>
              <w:adjustRightInd w:val="0"/>
              <w:spacing w:before="25" w:after="25" w:line="360" w:lineRule="auto"/>
              <w:jc w:val="left"/>
              <w:rPr>
                <w:rFonts w:hint="eastAsia" w:ascii="宋体" w:hAnsi="宋体" w:eastAsia="宋体" w:cs="宋体"/>
                <w:color w:val="000000"/>
                <w:sz w:val="24"/>
                <w:szCs w:val="24"/>
                <w:highlight w:val="none"/>
              </w:rPr>
            </w:pPr>
            <w:r>
              <w:rPr>
                <w:rFonts w:hint="eastAsia" w:ascii="宋体" w:hAnsi="宋体" w:eastAsia="宋体" w:cs="Times New Roman"/>
                <w:color w:val="000000"/>
                <w:sz w:val="24"/>
                <w:szCs w:val="24"/>
                <w:highlight w:val="none"/>
              </w:rPr>
              <w:t>4、投标的公司提供的资质证明材料应真实、合法、有效。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招标</w:t>
            </w:r>
            <w:r>
              <w:rPr>
                <w:rFonts w:hint="eastAsia" w:ascii="宋体" w:hAnsi="宋体" w:eastAsia="宋体" w:cs="宋体"/>
                <w:kern w:val="0"/>
                <w:sz w:val="24"/>
                <w:szCs w:val="24"/>
                <w:highlight w:val="none"/>
              </w:rPr>
              <w:t>内容</w:t>
            </w:r>
          </w:p>
        </w:tc>
        <w:tc>
          <w:tcPr>
            <w:tcW w:w="6662" w:type="dxa"/>
            <w:tcBorders>
              <w:top w:val="single" w:color="auto" w:sz="4" w:space="0"/>
              <w:left w:val="single" w:color="auto" w:sz="4" w:space="0"/>
              <w:bottom w:val="single" w:color="auto" w:sz="4" w:space="0"/>
              <w:right w:val="single" w:color="auto" w:sz="4" w:space="0"/>
            </w:tcBorders>
            <w:noWrap/>
            <w:vAlign w:val="center"/>
          </w:tcPr>
          <w:p>
            <w:pPr>
              <w:tabs>
                <w:tab w:val="left" w:pos="879"/>
              </w:tabs>
              <w:autoSpaceDE w:val="0"/>
              <w:autoSpaceDN w:val="0"/>
              <w:adjustRightInd w:val="0"/>
              <w:spacing w:line="440" w:lineRule="exact"/>
              <w:rPr>
                <w:rFonts w:hint="eastAsia" w:ascii="宋体" w:hAnsi="宋体" w:eastAsia="宋体" w:cs="宋体"/>
                <w:kern w:val="0"/>
                <w:sz w:val="24"/>
                <w:szCs w:val="24"/>
                <w:highlight w:val="none"/>
              </w:rPr>
            </w:pPr>
            <w:r>
              <w:rPr>
                <w:rFonts w:hint="eastAsia" w:ascii="宋体" w:hAnsi="宋体" w:eastAsia="宋体" w:cs="Times New Roman"/>
                <w:sz w:val="24"/>
                <w:szCs w:val="24"/>
                <w:highlight w:val="none"/>
              </w:rPr>
              <w:t>聘请第三方对到场的货物进行装卸及转运，主要内容：详见招标公告第二部分</w:t>
            </w:r>
            <w:r>
              <w:rPr>
                <w:rFonts w:hint="eastAsia" w:ascii="宋体" w:hAnsi="宋体"/>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最高限价</w:t>
            </w:r>
          </w:p>
        </w:tc>
        <w:tc>
          <w:tcPr>
            <w:tcW w:w="6662" w:type="dxa"/>
            <w:tcBorders>
              <w:top w:val="single" w:color="auto" w:sz="4" w:space="0"/>
              <w:left w:val="single" w:color="auto" w:sz="4" w:space="0"/>
              <w:bottom w:val="single" w:color="auto" w:sz="4" w:space="0"/>
              <w:right w:val="single" w:color="auto" w:sz="4" w:space="0"/>
            </w:tcBorders>
            <w:noWrap/>
            <w:vAlign w:val="center"/>
          </w:tcPr>
          <w:p>
            <w:pPr>
              <w:tabs>
                <w:tab w:val="left" w:pos="879"/>
              </w:tabs>
              <w:autoSpaceDE w:val="0"/>
              <w:autoSpaceDN w:val="0"/>
              <w:adjustRightInd w:val="0"/>
              <w:spacing w:line="44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袋装料</w:t>
            </w:r>
            <w:r>
              <w:rPr>
                <w:rFonts w:hint="eastAsia" w:ascii="宋体" w:hAnsi="宋体" w:eastAsia="宋体" w:cs="Times New Roman"/>
                <w:sz w:val="24"/>
                <w:szCs w:val="24"/>
                <w:highlight w:val="none"/>
                <w:lang w:val="en-US" w:eastAsia="zh-CN"/>
              </w:rPr>
              <w:t>装卸及</w:t>
            </w:r>
            <w:r>
              <w:rPr>
                <w:rFonts w:hint="eastAsia" w:ascii="宋体" w:hAnsi="宋体" w:eastAsia="宋体" w:cs="Times New Roman"/>
                <w:sz w:val="24"/>
                <w:szCs w:val="24"/>
                <w:highlight w:val="none"/>
              </w:rPr>
              <w:t>转运服务：不超过</w:t>
            </w:r>
            <w:r>
              <w:rPr>
                <w:rFonts w:hint="eastAsia" w:ascii="宋体" w:hAnsi="宋体" w:eastAsia="宋体" w:cs="Times New Roman"/>
                <w:sz w:val="24"/>
                <w:szCs w:val="24"/>
                <w:highlight w:val="none"/>
                <w:lang w:val="en-US" w:eastAsia="zh-CN"/>
              </w:rPr>
              <w:t>25</w:t>
            </w:r>
            <w:r>
              <w:rPr>
                <w:rFonts w:hint="eastAsia" w:ascii="宋体" w:hAnsi="宋体" w:eastAsia="宋体" w:cs="Times New Roman"/>
                <w:sz w:val="24"/>
                <w:szCs w:val="24"/>
                <w:highlight w:val="none"/>
              </w:rPr>
              <w:t>元/吨；</w:t>
            </w:r>
          </w:p>
          <w:p>
            <w:pPr>
              <w:tabs>
                <w:tab w:val="left" w:pos="879"/>
              </w:tabs>
              <w:autoSpaceDE w:val="0"/>
              <w:autoSpaceDN w:val="0"/>
              <w:adjustRightInd w:val="0"/>
              <w:spacing w:line="440" w:lineRule="exac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散料</w:t>
            </w:r>
            <w:r>
              <w:rPr>
                <w:rFonts w:hint="eastAsia" w:ascii="宋体" w:hAnsi="宋体" w:eastAsia="宋体" w:cs="Times New Roman"/>
                <w:sz w:val="24"/>
                <w:szCs w:val="24"/>
                <w:highlight w:val="none"/>
                <w:lang w:val="en-US" w:eastAsia="zh-CN"/>
              </w:rPr>
              <w:t>装卸及</w:t>
            </w:r>
            <w:r>
              <w:rPr>
                <w:rFonts w:hint="eastAsia" w:ascii="宋体" w:hAnsi="宋体" w:eastAsia="宋体" w:cs="Times New Roman"/>
                <w:sz w:val="24"/>
                <w:szCs w:val="24"/>
                <w:highlight w:val="none"/>
              </w:rPr>
              <w:t>转运</w:t>
            </w:r>
            <w:r>
              <w:rPr>
                <w:rFonts w:hint="eastAsia" w:ascii="宋体" w:hAnsi="宋体" w:eastAsia="宋体" w:cs="Times New Roman"/>
                <w:sz w:val="24"/>
                <w:szCs w:val="24"/>
                <w:highlight w:val="none"/>
                <w:lang w:val="en-US" w:eastAsia="zh-CN"/>
              </w:rPr>
              <w:t>服务</w:t>
            </w:r>
            <w:r>
              <w:rPr>
                <w:rFonts w:hint="eastAsia" w:ascii="宋体" w:hAnsi="宋体" w:eastAsia="宋体" w:cs="Times New Roman"/>
                <w:sz w:val="24"/>
                <w:szCs w:val="24"/>
                <w:highlight w:val="none"/>
              </w:rPr>
              <w:t>：不超过</w:t>
            </w:r>
            <w:r>
              <w:rPr>
                <w:rFonts w:hint="eastAsia" w:ascii="宋体" w:hAnsi="宋体" w:eastAsia="宋体" w:cs="Times New Roman"/>
                <w:sz w:val="24"/>
                <w:szCs w:val="24"/>
                <w:highlight w:val="none"/>
                <w:lang w:val="en-US" w:eastAsia="zh-CN"/>
              </w:rPr>
              <w:t>15</w:t>
            </w:r>
            <w:r>
              <w:rPr>
                <w:rFonts w:hint="eastAsia" w:ascii="宋体" w:hAnsi="宋体" w:eastAsia="宋体" w:cs="Times New Roman"/>
                <w:sz w:val="24"/>
                <w:szCs w:val="24"/>
                <w:highlight w:val="none"/>
              </w:rPr>
              <w:t>元/吨；</w:t>
            </w:r>
            <w:r>
              <w:rPr>
                <w:rFonts w:hint="eastAsia" w:ascii="宋体" w:hAnsi="宋体" w:eastAsia="宋体" w:cs="Times New Roman"/>
                <w:sz w:val="24"/>
                <w:szCs w:val="24"/>
                <w:highlight w:val="none"/>
                <w:lang w:val="en-US" w:eastAsia="zh-CN"/>
              </w:rPr>
              <w:t xml:space="preserve">                                     </w:t>
            </w:r>
          </w:p>
          <w:p>
            <w:pPr>
              <w:tabs>
                <w:tab w:val="left" w:pos="879"/>
              </w:tabs>
              <w:autoSpaceDE w:val="0"/>
              <w:autoSpaceDN w:val="0"/>
              <w:adjustRightInd w:val="0"/>
              <w:spacing w:line="44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吨包料</w:t>
            </w:r>
            <w:r>
              <w:rPr>
                <w:rFonts w:hint="eastAsia" w:ascii="宋体" w:hAnsi="宋体" w:eastAsia="宋体" w:cs="Times New Roman"/>
                <w:sz w:val="24"/>
                <w:szCs w:val="24"/>
                <w:highlight w:val="none"/>
                <w:lang w:val="en-US" w:eastAsia="zh-CN"/>
              </w:rPr>
              <w:t>装卸及</w:t>
            </w:r>
            <w:r>
              <w:rPr>
                <w:rFonts w:hint="eastAsia" w:ascii="宋体" w:hAnsi="宋体" w:eastAsia="宋体" w:cs="Times New Roman"/>
                <w:sz w:val="24"/>
                <w:szCs w:val="24"/>
                <w:highlight w:val="none"/>
              </w:rPr>
              <w:t>转运</w:t>
            </w:r>
            <w:r>
              <w:rPr>
                <w:rFonts w:hint="eastAsia" w:ascii="宋体" w:hAnsi="宋体" w:eastAsia="宋体" w:cs="Times New Roman"/>
                <w:sz w:val="24"/>
                <w:szCs w:val="24"/>
                <w:highlight w:val="none"/>
                <w:lang w:val="en-US" w:eastAsia="zh-CN"/>
              </w:rPr>
              <w:t>服务</w:t>
            </w:r>
            <w:r>
              <w:rPr>
                <w:rFonts w:hint="eastAsia" w:ascii="宋体" w:hAnsi="宋体" w:eastAsia="宋体" w:cs="Times New Roman"/>
                <w:sz w:val="24"/>
                <w:szCs w:val="24"/>
                <w:highlight w:val="none"/>
              </w:rPr>
              <w:t>：不超过</w:t>
            </w:r>
            <w:r>
              <w:rPr>
                <w:rFonts w:hint="eastAsia" w:ascii="宋体" w:hAnsi="宋体" w:eastAsia="宋体" w:cs="Times New Roman"/>
                <w:sz w:val="24"/>
                <w:szCs w:val="24"/>
                <w:highlight w:val="none"/>
                <w:lang w:val="en-US" w:eastAsia="zh-CN"/>
              </w:rPr>
              <w:t>15</w:t>
            </w:r>
            <w:r>
              <w:rPr>
                <w:rFonts w:hint="eastAsia" w:ascii="宋体" w:hAnsi="宋体" w:eastAsia="宋体" w:cs="Times New Roman"/>
                <w:sz w:val="24"/>
                <w:szCs w:val="24"/>
                <w:highlight w:val="none"/>
              </w:rPr>
              <w:t>元/吨；</w:t>
            </w:r>
          </w:p>
          <w:p>
            <w:pPr>
              <w:tabs>
                <w:tab w:val="left" w:pos="879"/>
              </w:tabs>
              <w:autoSpaceDE w:val="0"/>
              <w:autoSpaceDN w:val="0"/>
              <w:adjustRightInd w:val="0"/>
              <w:spacing w:line="440" w:lineRule="exact"/>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报价包含人</w:t>
            </w:r>
            <w:r>
              <w:rPr>
                <w:rFonts w:hint="eastAsia" w:ascii="宋体" w:hAnsi="宋体" w:eastAsia="宋体" w:cs="Times New Roman"/>
                <w:sz w:val="24"/>
                <w:szCs w:val="24"/>
                <w:highlight w:val="none"/>
              </w:rPr>
              <w:t>工费、</w:t>
            </w:r>
            <w:r>
              <w:rPr>
                <w:rFonts w:hint="eastAsia" w:ascii="宋体" w:hAnsi="宋体" w:eastAsia="宋体" w:cs="Times New Roman"/>
                <w:sz w:val="24"/>
                <w:szCs w:val="24"/>
                <w:highlight w:val="none"/>
                <w:lang w:val="en-US" w:eastAsia="zh-CN"/>
              </w:rPr>
              <w:t>食宿</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劳保用品</w:t>
            </w:r>
            <w:r>
              <w:rPr>
                <w:rFonts w:hint="eastAsia" w:ascii="宋体" w:hAnsi="宋体" w:eastAsia="宋体" w:cs="Times New Roman"/>
                <w:sz w:val="24"/>
                <w:szCs w:val="24"/>
                <w:highlight w:val="none"/>
              </w:rPr>
              <w:t>、管理费、利润、</w:t>
            </w:r>
            <w:r>
              <w:rPr>
                <w:rFonts w:hint="eastAsia" w:ascii="宋体" w:hAnsi="宋体" w:eastAsia="宋体" w:cs="Times New Roman"/>
                <w:sz w:val="24"/>
                <w:szCs w:val="24"/>
                <w:highlight w:val="none"/>
                <w:lang w:val="en-US" w:eastAsia="zh-CN"/>
              </w:rPr>
              <w:t>燃</w:t>
            </w:r>
            <w:r>
              <w:rPr>
                <w:rFonts w:hint="eastAsia" w:ascii="宋体" w:hAnsi="宋体" w:eastAsia="宋体" w:cs="Times New Roman"/>
                <w:sz w:val="24"/>
                <w:szCs w:val="24"/>
                <w:highlight w:val="none"/>
              </w:rPr>
              <w:t>油费、</w:t>
            </w:r>
            <w:r>
              <w:rPr>
                <w:rFonts w:hint="eastAsia" w:ascii="宋体" w:hAnsi="宋体" w:eastAsia="宋体" w:cs="Times New Roman"/>
                <w:sz w:val="24"/>
                <w:szCs w:val="24"/>
                <w:highlight w:val="none"/>
                <w:lang w:val="en-US" w:eastAsia="zh-CN"/>
              </w:rPr>
              <w:t>车辆维修保养、人员保险、税金等</w:t>
            </w:r>
            <w:r>
              <w:rPr>
                <w:rFonts w:hint="eastAsia" w:ascii="宋体" w:hAnsi="宋体" w:eastAsia="宋体" w:cs="Times New Roman"/>
                <w:sz w:val="24"/>
                <w:szCs w:val="24"/>
                <w:highlight w:val="none"/>
                <w:lang w:eastAsia="zh-CN"/>
              </w:rPr>
              <w:t>。</w:t>
            </w:r>
          </w:p>
          <w:p>
            <w:pPr>
              <w:tabs>
                <w:tab w:val="left" w:pos="879"/>
              </w:tabs>
              <w:autoSpaceDE w:val="0"/>
              <w:autoSpaceDN w:val="0"/>
              <w:adjustRightInd w:val="0"/>
              <w:spacing w:line="440" w:lineRule="exact"/>
              <w:rPr>
                <w:rFonts w:hint="default"/>
                <w:highlight w:val="none"/>
                <w:lang w:val="en-US" w:eastAsia="zh-CN"/>
              </w:rPr>
            </w:pPr>
            <w:r>
              <w:rPr>
                <w:rFonts w:hint="eastAsia" w:ascii="宋体" w:hAnsi="宋体" w:eastAsia="宋体" w:cs="Times New Roman"/>
                <w:sz w:val="24"/>
                <w:szCs w:val="24"/>
                <w:highlight w:val="none"/>
                <w:lang w:val="en-US" w:eastAsia="zh-CN"/>
              </w:rPr>
              <w:t>投标报价不得超过限标价，否则废标处理。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lang w:val="zh-CN"/>
              </w:rPr>
            </w:pPr>
            <w:r>
              <w:rPr>
                <w:rFonts w:hint="eastAsia" w:ascii="宋体" w:hAnsi="宋体" w:eastAsia="宋体" w:cs="Times New Roman"/>
                <w:sz w:val="24"/>
                <w:szCs w:val="24"/>
                <w:highlight w:val="none"/>
                <w:lang w:val="zh-CN"/>
              </w:rPr>
              <w:t>服务期限</w:t>
            </w:r>
          </w:p>
        </w:tc>
        <w:tc>
          <w:tcPr>
            <w:tcW w:w="6662" w:type="dxa"/>
            <w:tcBorders>
              <w:top w:val="single" w:color="auto" w:sz="4" w:space="0"/>
              <w:left w:val="single" w:color="auto" w:sz="4" w:space="0"/>
              <w:bottom w:val="single" w:color="auto" w:sz="4" w:space="0"/>
              <w:right w:val="single" w:color="auto" w:sz="4" w:space="0"/>
            </w:tcBorders>
            <w:noWrap/>
            <w:vAlign w:val="center"/>
          </w:tcPr>
          <w:p>
            <w:pPr>
              <w:tabs>
                <w:tab w:val="left" w:pos="879"/>
              </w:tabs>
              <w:autoSpaceDE w:val="0"/>
              <w:autoSpaceDN w:val="0"/>
              <w:adjustRightInd w:val="0"/>
              <w:spacing w:line="440" w:lineRule="exact"/>
              <w:rPr>
                <w:rFonts w:hint="eastAsia" w:ascii="宋体" w:hAnsi="宋体" w:eastAsia="宋体" w:cs="宋体"/>
                <w:kern w:val="0"/>
                <w:sz w:val="24"/>
                <w:szCs w:val="24"/>
                <w:highlight w:val="none"/>
              </w:rPr>
            </w:pPr>
            <w:r>
              <w:rPr>
                <w:rFonts w:hint="eastAsia" w:ascii="宋体" w:hAnsi="宋体" w:eastAsia="宋体" w:cs="Times New Roman"/>
                <w:sz w:val="24"/>
                <w:szCs w:val="24"/>
                <w:highlight w:val="none"/>
              </w:rPr>
              <w:t>合同生效后1年。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付款方式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1、履约保证金收取金额为年中标金额的5%；履约保证金由中标方在收到中标通知书之后签订合同之前交于招标方；</w:t>
            </w:r>
            <w:r>
              <w:rPr>
                <w:rFonts w:hint="eastAsia" w:ascii="宋体" w:hAnsi="宋体" w:eastAsia="宋体" w:cs="宋体"/>
                <w:sz w:val="24"/>
                <w:szCs w:val="24"/>
                <w:highlight w:val="none"/>
              </w:rPr>
              <w:t>合同执行完后，期间无违约情况发生，甲方一次性无息退还履约保证金。</w:t>
            </w:r>
          </w:p>
          <w:p>
            <w:pPr>
              <w:spacing w:line="360" w:lineRule="auto"/>
              <w:rPr>
                <w:rFonts w:hint="eastAsia" w:ascii="宋体" w:hAnsi="宋体" w:eastAsia="宋体" w:cs="宋体"/>
                <w:kern w:val="0"/>
                <w:sz w:val="24"/>
                <w:szCs w:val="24"/>
                <w:highlight w:val="none"/>
                <w:lang w:val="zh-CN"/>
              </w:rPr>
            </w:pPr>
            <w:r>
              <w:rPr>
                <w:rFonts w:hint="eastAsia" w:asciiTheme="majorEastAsia" w:hAnsiTheme="majorEastAsia" w:eastAsiaTheme="majorEastAsia" w:cstheme="majorEastAsia"/>
                <w:kern w:val="0"/>
                <w:sz w:val="24"/>
                <w:szCs w:val="24"/>
                <w:highlight w:val="none"/>
                <w:lang w:val="en-US" w:eastAsia="zh-CN"/>
              </w:rPr>
              <w:t>2、</w:t>
            </w:r>
            <w:r>
              <w:rPr>
                <w:rFonts w:hint="eastAsia" w:ascii="宋体" w:hAnsi="宋体" w:eastAsia="宋体" w:cs="宋体"/>
                <w:sz w:val="24"/>
                <w:szCs w:val="24"/>
                <w:highlight w:val="none"/>
              </w:rPr>
              <w:t>实行月结，即按每月截止月底</w:t>
            </w:r>
            <w:r>
              <w:rPr>
                <w:rFonts w:hint="eastAsia" w:ascii="宋体" w:hAnsi="宋体" w:eastAsia="宋体" w:cs="宋体"/>
                <w:sz w:val="24"/>
                <w:szCs w:val="24"/>
                <w:highlight w:val="none"/>
                <w:lang w:val="en-US" w:eastAsia="zh-CN"/>
              </w:rPr>
              <w:t>最后一天</w:t>
            </w:r>
            <w:r>
              <w:rPr>
                <w:rFonts w:hint="eastAsia" w:ascii="宋体" w:hAnsi="宋体" w:eastAsia="宋体" w:cs="宋体"/>
                <w:sz w:val="24"/>
                <w:szCs w:val="24"/>
                <w:highlight w:val="none"/>
              </w:rPr>
              <w:t>的实际卸料及</w:t>
            </w:r>
            <w:r>
              <w:rPr>
                <w:rFonts w:hint="eastAsia" w:ascii="宋体" w:hAnsi="宋体" w:eastAsia="宋体" w:cs="宋体"/>
                <w:sz w:val="24"/>
                <w:szCs w:val="24"/>
                <w:highlight w:val="none"/>
                <w:lang w:val="en-US" w:eastAsia="zh-CN"/>
              </w:rPr>
              <w:t>倒料进入料仓的数</w:t>
            </w:r>
            <w:r>
              <w:rPr>
                <w:rFonts w:hint="eastAsia" w:ascii="宋体" w:hAnsi="宋体" w:eastAsia="宋体" w:cs="宋体"/>
                <w:sz w:val="24"/>
                <w:szCs w:val="24"/>
                <w:highlight w:val="none"/>
              </w:rPr>
              <w:t>量进行结算，收到发票后10个工作日内支付。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资格审查方式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分包</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lang w:val="zh-CN"/>
              </w:rPr>
            </w:pPr>
            <w:r>
              <w:rPr>
                <w:rFonts w:hint="eastAsia" w:ascii="宋体" w:hAnsi="宋体" w:eastAsia="宋体" w:cs="Times New Roman"/>
                <w:bCs/>
                <w:sz w:val="24"/>
                <w:szCs w:val="24"/>
                <w:highlight w:val="none"/>
              </w:rPr>
              <w:t>比选响应文件递交</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宋体" w:hAnsi="宋体" w:eastAsia="宋体" w:cs="Times New Roman"/>
                <w:kern w:val="0"/>
                <w:sz w:val="24"/>
                <w:szCs w:val="24"/>
                <w:highlight w:val="none"/>
              </w:rPr>
            </w:pPr>
            <w:r>
              <w:rPr>
                <w:rFonts w:ascii="宋体" w:hAnsi="宋体" w:eastAsia="宋体" w:cs="Times New Roman"/>
                <w:sz w:val="24"/>
                <w:szCs w:val="24"/>
                <w:highlight w:val="none"/>
              </w:rPr>
              <w:t>1</w:t>
            </w:r>
            <w:r>
              <w:rPr>
                <w:rFonts w:hint="eastAsia" w:ascii="宋体" w:hAnsi="宋体"/>
                <w:kern w:val="0"/>
                <w:sz w:val="24"/>
                <w:szCs w:val="24"/>
                <w:highlight w:val="none"/>
              </w:rPr>
              <w:t>、投标文件递交的截止时间：202</w:t>
            </w:r>
            <w:r>
              <w:rPr>
                <w:rFonts w:hint="eastAsia" w:ascii="宋体" w:hAnsi="宋体"/>
                <w:kern w:val="0"/>
                <w:sz w:val="24"/>
                <w:szCs w:val="24"/>
                <w:highlight w:val="none"/>
                <w:lang w:val="en-US" w:eastAsia="zh-CN"/>
              </w:rPr>
              <w:t>6</w:t>
            </w:r>
            <w:r>
              <w:rPr>
                <w:rFonts w:hint="eastAsia" w:ascii="宋体" w:hAnsi="宋体"/>
                <w:kern w:val="0"/>
                <w:sz w:val="24"/>
                <w:szCs w:val="24"/>
                <w:highlight w:val="none"/>
              </w:rPr>
              <w:t>年</w:t>
            </w:r>
            <w:r>
              <w:rPr>
                <w:rFonts w:hint="eastAsia" w:ascii="宋体" w:hAnsi="宋体"/>
                <w:kern w:val="0"/>
                <w:sz w:val="24"/>
                <w:szCs w:val="24"/>
                <w:highlight w:val="none"/>
                <w:lang w:val="en-US" w:eastAsia="zh-CN"/>
              </w:rPr>
              <w:t>3月23日</w:t>
            </w:r>
            <w:r>
              <w:rPr>
                <w:rFonts w:hint="eastAsia" w:ascii="宋体" w:hAnsi="宋体"/>
                <w:kern w:val="0"/>
                <w:sz w:val="24"/>
                <w:szCs w:val="24"/>
                <w:highlight w:val="none"/>
              </w:rPr>
              <w:t>10:00；</w:t>
            </w:r>
            <w:r>
              <w:rPr>
                <w:rFonts w:hint="eastAsia" w:ascii="宋体" w:hAnsi="宋体" w:eastAsia="宋体" w:cs="Times New Roman"/>
                <w:kern w:val="0"/>
                <w:sz w:val="24"/>
                <w:szCs w:val="24"/>
                <w:highlight w:val="none"/>
              </w:rPr>
              <w:t>逾期送达的或者未送达指定地点的投标文件，将不予受理。</w:t>
            </w:r>
          </w:p>
          <w:p>
            <w:pPr>
              <w:spacing w:line="360" w:lineRule="auto"/>
              <w:rPr>
                <w:rFonts w:hint="eastAsia" w:ascii="宋体" w:hAnsi="宋体" w:eastAsia="宋体" w:cs="宋体"/>
                <w:kern w:val="0"/>
                <w:sz w:val="24"/>
                <w:szCs w:val="24"/>
                <w:highlight w:val="none"/>
                <w:lang w:val="zh-CN"/>
              </w:rPr>
            </w:pPr>
            <w:r>
              <w:rPr>
                <w:rFonts w:hint="eastAsia" w:ascii="宋体" w:hAnsi="宋体" w:eastAsia="宋体" w:cs="Times New Roman"/>
                <w:kern w:val="0"/>
                <w:sz w:val="24"/>
                <w:szCs w:val="24"/>
                <w:highlight w:val="none"/>
              </w:rPr>
              <w:t>2、投标单位将投标文件含正、副各一本密封后用送至我公司，送达地点：陕西省大荔县韦林镇</w:t>
            </w:r>
            <w:r>
              <w:rPr>
                <w:rFonts w:hint="eastAsia" w:ascii="宋体" w:hAnsi="宋体" w:eastAsia="宋体" w:cs="Times New Roman"/>
                <w:kern w:val="0"/>
                <w:sz w:val="24"/>
                <w:szCs w:val="24"/>
                <w:highlight w:val="none"/>
                <w:lang w:val="en-US" w:eastAsia="zh-CN"/>
              </w:rPr>
              <w:t>果园</w:t>
            </w:r>
            <w:r>
              <w:rPr>
                <w:rFonts w:hint="eastAsia" w:ascii="宋体" w:hAnsi="宋体" w:eastAsia="宋体" w:cs="Times New Roman"/>
                <w:sz w:val="24"/>
                <w:szCs w:val="24"/>
                <w:highlight w:val="none"/>
                <w:lang w:val="zh-CN"/>
              </w:rPr>
              <w:t>中垦牧（陕西）牧业有限公司</w:t>
            </w:r>
            <w:r>
              <w:rPr>
                <w:rFonts w:hint="eastAsia" w:ascii="宋体" w:hAnsi="宋体" w:eastAsia="宋体" w:cs="Times New Roman"/>
                <w:kern w:val="0"/>
                <w:sz w:val="24"/>
                <w:szCs w:val="24"/>
                <w:highlight w:val="none"/>
              </w:rPr>
              <w:t>大荔</w:t>
            </w:r>
            <w:r>
              <w:rPr>
                <w:rFonts w:hint="eastAsia" w:ascii="宋体" w:hAnsi="宋体" w:eastAsia="宋体" w:cs="Times New Roman"/>
                <w:kern w:val="0"/>
                <w:sz w:val="24"/>
                <w:szCs w:val="24"/>
                <w:highlight w:val="none"/>
                <w:lang w:val="en-US" w:eastAsia="zh-CN"/>
              </w:rPr>
              <w:t>分公司（原华山牧场）</w:t>
            </w:r>
            <w:r>
              <w:rPr>
                <w:rFonts w:hint="eastAsia" w:ascii="宋体" w:hAnsi="宋体" w:eastAsia="宋体" w:cs="Times New Roman"/>
                <w:kern w:val="0"/>
                <w:sz w:val="24"/>
                <w:szCs w:val="24"/>
                <w:highlight w:val="none"/>
              </w:rPr>
              <w:t>，收件人：</w:t>
            </w:r>
            <w:r>
              <w:rPr>
                <w:rFonts w:hint="eastAsia" w:ascii="宋体" w:hAnsi="宋体" w:eastAsia="宋体" w:cs="Times New Roman"/>
                <w:color w:val="000000"/>
                <w:sz w:val="24"/>
                <w:szCs w:val="24"/>
                <w:highlight w:val="none"/>
              </w:rPr>
              <w:t>谈超龙</w:t>
            </w:r>
            <w:r>
              <w:rPr>
                <w:rFonts w:hint="eastAsia" w:ascii="宋体" w:hAnsi="宋体" w:eastAsia="宋体" w:cs="Times New Roman"/>
                <w:kern w:val="0"/>
                <w:sz w:val="24"/>
                <w:szCs w:val="24"/>
                <w:highlight w:val="none"/>
              </w:rPr>
              <w:t>，联系电话：</w:t>
            </w:r>
            <w:r>
              <w:rPr>
                <w:rFonts w:hint="eastAsia" w:ascii="宋体" w:hAnsi="宋体"/>
                <w:color w:val="000000"/>
                <w:sz w:val="24"/>
                <w:szCs w:val="24"/>
                <w:highlight w:val="none"/>
              </w:rPr>
              <w:t>18191738443</w:t>
            </w:r>
            <w:r>
              <w:rPr>
                <w:rFonts w:hint="eastAsia" w:ascii="宋体" w:hAnsi="宋体" w:eastAsia="宋体" w:cs="Times New Roman"/>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比选</w:t>
            </w:r>
            <w:r>
              <w:rPr>
                <w:rFonts w:hint="eastAsia" w:ascii="宋体" w:hAnsi="宋体" w:eastAsia="宋体" w:cs="宋体"/>
                <w:kern w:val="0"/>
                <w:sz w:val="24"/>
                <w:szCs w:val="24"/>
                <w:highlight w:val="none"/>
                <w:lang w:val="zh-CN"/>
              </w:rPr>
              <w:t>时间及地点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时间：202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3月23日</w:t>
            </w:r>
            <w:r>
              <w:rPr>
                <w:rFonts w:hint="eastAsia" w:ascii="宋体" w:hAnsi="宋体" w:eastAsia="宋体" w:cs="宋体"/>
                <w:kern w:val="0"/>
                <w:sz w:val="24"/>
                <w:szCs w:val="24"/>
                <w:highlight w:val="none"/>
              </w:rPr>
              <w:t>10:00</w:t>
            </w:r>
          </w:p>
          <w:p>
            <w:pPr>
              <w:autoSpaceDE w:val="0"/>
              <w:autoSpaceDN w:val="0"/>
              <w:adjustRightInd w:val="0"/>
              <w:spacing w:line="440" w:lineRule="exac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地点：陕西省大荔县韦林镇果园</w:t>
            </w:r>
            <w:r>
              <w:rPr>
                <w:rFonts w:hint="eastAsia" w:ascii="宋体" w:hAnsi="宋体" w:eastAsia="宋体" w:cs="Times New Roman"/>
                <w:sz w:val="24"/>
                <w:szCs w:val="24"/>
                <w:highlight w:val="none"/>
                <w:lang w:val="zh-CN"/>
              </w:rPr>
              <w:t>中垦牧（陕西）牧业有限公司</w:t>
            </w:r>
            <w:r>
              <w:rPr>
                <w:rFonts w:hint="eastAsia" w:ascii="宋体" w:hAnsi="宋体" w:eastAsia="宋体" w:cs="宋体"/>
                <w:kern w:val="0"/>
                <w:sz w:val="24"/>
                <w:szCs w:val="24"/>
                <w:highlight w:val="none"/>
              </w:rPr>
              <w:t>大荔分公司办公楼会议室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lang w:val="zh-CN"/>
              </w:rPr>
            </w:pPr>
            <w:r>
              <w:rPr>
                <w:rFonts w:hint="eastAsia" w:ascii="宋体" w:hAnsi="宋体" w:eastAsia="宋体" w:cs="宋体"/>
                <w:sz w:val="24"/>
                <w:szCs w:val="24"/>
                <w:highlight w:val="none"/>
                <w:lang w:val="zh-CN"/>
              </w:rPr>
              <w:t>投标保证金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1、投标保证金递交时间：以银行电汇、转账形式递交的投标保证金，须在投标截止时间202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3月23日</w:t>
            </w:r>
            <w:r>
              <w:rPr>
                <w:rFonts w:hint="eastAsia" w:ascii="宋体" w:hAnsi="宋体" w:eastAsia="宋体" w:cs="宋体"/>
                <w:sz w:val="24"/>
                <w:szCs w:val="24"/>
                <w:highlight w:val="none"/>
              </w:rPr>
              <w:t>10:00之前打到招标人账户。</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2、投标保证金：</w:t>
            </w:r>
            <w:r>
              <w:rPr>
                <w:rFonts w:hint="eastAsia" w:ascii="宋体" w:hAnsi="宋体" w:eastAsia="宋体" w:cs="宋体"/>
                <w:b/>
                <w:bCs/>
                <w:sz w:val="24"/>
                <w:szCs w:val="24"/>
                <w:highlight w:val="none"/>
              </w:rPr>
              <w:t>￥14000元，大写：人民币</w:t>
            </w:r>
            <w:r>
              <w:rPr>
                <w:rFonts w:hint="eastAsia" w:ascii="宋体" w:hAnsi="宋体" w:cs="宋体"/>
                <w:b/>
                <w:bCs/>
                <w:sz w:val="24"/>
                <w:szCs w:val="24"/>
                <w:highlight w:val="none"/>
              </w:rPr>
              <w:t>壹万肆仟</w:t>
            </w:r>
            <w:r>
              <w:rPr>
                <w:rFonts w:hint="eastAsia" w:ascii="宋体" w:hAnsi="宋体" w:eastAsia="宋体" w:cs="宋体"/>
                <w:b/>
                <w:bCs/>
                <w:sz w:val="24"/>
                <w:szCs w:val="24"/>
                <w:highlight w:val="none"/>
              </w:rPr>
              <w:t>元整</w:t>
            </w:r>
            <w:r>
              <w:rPr>
                <w:rFonts w:hint="eastAsia" w:ascii="宋体" w:hAnsi="宋体" w:eastAsia="宋体" w:cs="宋体"/>
                <w:sz w:val="24"/>
                <w:szCs w:val="24"/>
                <w:highlight w:val="none"/>
              </w:rPr>
              <w:t>（投标方需备注：</w:t>
            </w:r>
            <w:r>
              <w:rPr>
                <w:rFonts w:hint="eastAsia" w:ascii="宋体" w:hAnsi="宋体" w:eastAsia="宋体" w:cs="宋体"/>
                <w:kern w:val="0"/>
                <w:sz w:val="24"/>
                <w:szCs w:val="24"/>
                <w:highlight w:val="none"/>
              </w:rPr>
              <w:t>大荔牧场卸料及倒料劳务外包投标保证金</w:t>
            </w:r>
            <w:r>
              <w:rPr>
                <w:rFonts w:hint="eastAsia" w:ascii="宋体" w:hAnsi="宋体" w:eastAsia="宋体" w:cs="宋体"/>
                <w:sz w:val="24"/>
                <w:szCs w:val="24"/>
                <w:highlight w:val="none"/>
              </w:rPr>
              <w:t>），投标人应于202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3月23日</w:t>
            </w:r>
            <w:r>
              <w:rPr>
                <w:rFonts w:hint="eastAsia" w:ascii="宋体" w:hAnsi="宋体" w:eastAsia="宋体" w:cs="宋体"/>
                <w:sz w:val="24"/>
                <w:szCs w:val="24"/>
                <w:highlight w:val="none"/>
              </w:rPr>
              <w:t>10:00前，将投标保证金电汇回单通过微信发给招标方联系人（回单作为甲方退还未中标投标人保证金的凭证）。未在规定时间内缴纳投标保证金的视为未响应本次投标活动，招标方届时恕不接受其递交的投标文件。</w:t>
            </w:r>
            <w:r>
              <w:rPr>
                <w:rFonts w:hint="eastAsia" w:ascii="宋体" w:hAnsi="宋体" w:eastAsia="宋体" w:cs="宋体"/>
                <w:sz w:val="24"/>
                <w:szCs w:val="24"/>
                <w:highlight w:val="none"/>
                <w:lang w:val="en-US" w:eastAsia="zh-CN"/>
              </w:rPr>
              <w:t>投标保证金在招标方与中标人签订了该合同后7个工作日内无息支付</w:t>
            </w:r>
            <w:r>
              <w:rPr>
                <w:rFonts w:hint="eastAsia" w:ascii="宋体" w:hAnsi="宋体" w:eastAsia="宋体" w:cs="宋体"/>
                <w:sz w:val="24"/>
                <w:szCs w:val="24"/>
                <w:highlight w:val="none"/>
                <w:lang w:eastAsia="zh-CN"/>
              </w:rPr>
              <w:t>。</w:t>
            </w:r>
          </w:p>
          <w:p>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3、投标保证金电汇地址：</w:t>
            </w:r>
          </w:p>
          <w:p>
            <w:pPr>
              <w:widowControl/>
              <w:autoSpaceDE w:val="0"/>
              <w:autoSpaceDN w:val="0"/>
              <w:adjustRightInd w:val="0"/>
              <w:spacing w:line="360" w:lineRule="auto"/>
              <w:ind w:firstLine="482" w:firstLineChars="200"/>
              <w:jc w:val="left"/>
              <w:rPr>
                <w:rFonts w:hint="eastAsia" w:ascii="宋体" w:hAnsi="宋体" w:eastAsia="宋体" w:cs="Times New Roman"/>
                <w:sz w:val="24"/>
                <w:szCs w:val="24"/>
                <w:highlight w:val="none"/>
              </w:rPr>
            </w:pPr>
            <w:r>
              <w:rPr>
                <w:rFonts w:hint="eastAsia" w:ascii="宋体" w:hAnsi="宋体" w:eastAsia="宋体" w:cs="Times New Roman"/>
                <w:b/>
                <w:bCs/>
                <w:sz w:val="24"/>
                <w:szCs w:val="24"/>
                <w:highlight w:val="none"/>
              </w:rPr>
              <w:t>甲方收款账户信息</w:t>
            </w:r>
            <w:r>
              <w:rPr>
                <w:rFonts w:hint="eastAsia" w:ascii="宋体" w:hAnsi="宋体" w:eastAsia="宋体" w:cs="Times New Roman"/>
                <w:sz w:val="24"/>
                <w:szCs w:val="24"/>
                <w:highlight w:val="none"/>
              </w:rPr>
              <w:t>：</w:t>
            </w:r>
          </w:p>
          <w:p>
            <w:pPr>
              <w:widowControl/>
              <w:autoSpaceDE w:val="0"/>
              <w:autoSpaceDN w:val="0"/>
              <w:adjustRightInd w:val="0"/>
              <w:spacing w:line="360" w:lineRule="auto"/>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户名：中垦牧（陕西）牧业有限公司</w:t>
            </w:r>
          </w:p>
          <w:p>
            <w:pPr>
              <w:widowControl/>
              <w:autoSpaceDE w:val="0"/>
              <w:autoSpaceDN w:val="0"/>
              <w:adjustRightInd w:val="0"/>
              <w:spacing w:line="360" w:lineRule="auto"/>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开户行：中国农业银行股份有限公司华阴市支行</w:t>
            </w:r>
          </w:p>
          <w:p>
            <w:pPr>
              <w:widowControl/>
              <w:autoSpaceDE w:val="0"/>
              <w:autoSpaceDN w:val="0"/>
              <w:adjustRightInd w:val="0"/>
              <w:spacing w:line="360" w:lineRule="auto"/>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账户：26515201040020721</w:t>
            </w:r>
          </w:p>
          <w:p>
            <w:pPr>
              <w:widowControl/>
              <w:autoSpaceDE w:val="0"/>
              <w:autoSpaceDN w:val="0"/>
              <w:adjustRightInd w:val="0"/>
              <w:spacing w:line="360" w:lineRule="auto"/>
              <w:ind w:firstLine="723" w:firstLineChars="300"/>
              <w:jc w:val="left"/>
              <w:rPr>
                <w:rFonts w:hint="eastAsia" w:ascii="宋体" w:hAnsi="宋体" w:eastAsia="宋体" w:cs="Times New Roman"/>
                <w:sz w:val="24"/>
                <w:szCs w:val="24"/>
                <w:highlight w:val="none"/>
              </w:rPr>
            </w:pPr>
            <w:r>
              <w:rPr>
                <w:rFonts w:hint="eastAsia" w:ascii="宋体" w:hAnsi="宋体" w:eastAsia="宋体" w:cs="Times New Roman"/>
                <w:b/>
                <w:bCs/>
                <w:sz w:val="24"/>
                <w:szCs w:val="24"/>
                <w:highlight w:val="none"/>
              </w:rPr>
              <w:t>甲方开票信息</w:t>
            </w:r>
            <w:r>
              <w:rPr>
                <w:rFonts w:hint="eastAsia" w:ascii="宋体" w:hAnsi="宋体" w:eastAsia="宋体" w:cs="Times New Roman"/>
                <w:sz w:val="24"/>
                <w:szCs w:val="24"/>
                <w:highlight w:val="none"/>
              </w:rPr>
              <w:t>：</w:t>
            </w:r>
          </w:p>
          <w:p>
            <w:pPr>
              <w:widowControl/>
              <w:autoSpaceDE w:val="0"/>
              <w:autoSpaceDN w:val="0"/>
              <w:adjustRightInd w:val="0"/>
              <w:spacing w:line="360" w:lineRule="auto"/>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纳税人名称：中垦牧（陕西）牧业有限公司</w:t>
            </w:r>
          </w:p>
          <w:p>
            <w:pPr>
              <w:widowControl/>
              <w:autoSpaceDE w:val="0"/>
              <w:autoSpaceDN w:val="0"/>
              <w:adjustRightInd w:val="0"/>
              <w:spacing w:line="360" w:lineRule="auto"/>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纳税人识别号：91610825MA70CMPQ7L</w:t>
            </w:r>
          </w:p>
          <w:p>
            <w:pPr>
              <w:widowControl/>
              <w:autoSpaceDE w:val="0"/>
              <w:autoSpaceDN w:val="0"/>
              <w:adjustRightInd w:val="0"/>
              <w:spacing w:line="360" w:lineRule="auto"/>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开户行：中国农业发展银行定边支行</w:t>
            </w:r>
          </w:p>
          <w:p>
            <w:pPr>
              <w:widowControl/>
              <w:autoSpaceDE w:val="0"/>
              <w:autoSpaceDN w:val="0"/>
              <w:adjustRightInd w:val="0"/>
              <w:spacing w:line="360" w:lineRule="auto"/>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账号：20361082500100000357701</w:t>
            </w:r>
          </w:p>
          <w:p>
            <w:pPr>
              <w:widowControl/>
              <w:autoSpaceDE w:val="0"/>
              <w:autoSpaceDN w:val="0"/>
              <w:adjustRightInd w:val="0"/>
              <w:spacing w:line="360" w:lineRule="auto"/>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地址：陕西省榆林市定边县贺圈镇五兴庄村红庄自然村组</w:t>
            </w:r>
          </w:p>
          <w:p>
            <w:pPr>
              <w:widowControl/>
              <w:autoSpaceDE w:val="0"/>
              <w:autoSpaceDN w:val="0"/>
              <w:adjustRightInd w:val="0"/>
              <w:spacing w:line="360" w:lineRule="auto"/>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电话：13723386261</w:t>
            </w:r>
          </w:p>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4、投标保证金缴存凭证（复印件加盖公章附投标文件内）。</w:t>
            </w:r>
          </w:p>
          <w:p>
            <w:pPr>
              <w:spacing w:line="400" w:lineRule="exact"/>
              <w:rPr>
                <w:rFonts w:hint="eastAsia" w:ascii="宋体" w:hAnsi="宋体" w:eastAsia="宋体" w:cs="宋体"/>
                <w:highlight w:val="none"/>
                <w:lang w:val="zh-CN"/>
              </w:rPr>
            </w:pPr>
            <w:r>
              <w:rPr>
                <w:rFonts w:hint="eastAsia" w:ascii="宋体" w:hAnsi="宋体" w:eastAsia="宋体" w:cs="宋体"/>
                <w:b/>
                <w:sz w:val="24"/>
                <w:szCs w:val="24"/>
                <w:highlight w:val="none"/>
              </w:rPr>
              <w:t>特别提醒：</w:t>
            </w:r>
            <w:r>
              <w:rPr>
                <w:rFonts w:hint="eastAsia" w:ascii="宋体" w:hAnsi="宋体" w:eastAsia="宋体" w:cs="宋体"/>
                <w:sz w:val="24"/>
                <w:szCs w:val="24"/>
                <w:highlight w:val="none"/>
              </w:rPr>
              <w:t>投标人在提交投标保证金时采用银行转账或银行电汇方式时，应当从投标人基本账户汇至招标人的银行账户上。如果投标人弄虚作假，骗取中标的，投标无效，并不退还投标保证金。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评标方式及定标</w:t>
            </w:r>
          </w:p>
        </w:tc>
        <w:tc>
          <w:tcPr>
            <w:tcW w:w="6662" w:type="dxa"/>
            <w:tcBorders>
              <w:top w:val="single" w:color="auto" w:sz="4" w:space="0"/>
              <w:left w:val="single" w:color="auto" w:sz="4" w:space="0"/>
              <w:bottom w:val="single" w:color="auto" w:sz="4" w:space="0"/>
              <w:right w:val="single" w:color="auto" w:sz="4" w:space="0"/>
            </w:tcBorders>
            <w:noWrap/>
            <w:vAlign w:val="center"/>
          </w:tcPr>
          <w:p>
            <w:pPr>
              <w:pStyle w:val="7"/>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详见第二部分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rPr>
            </w:pPr>
            <w:r>
              <w:rPr>
                <w:rFonts w:hint="eastAsia" w:ascii="宋体" w:hAnsi="宋体" w:cs="宋体"/>
                <w:kern w:val="0"/>
                <w:sz w:val="24"/>
                <w:szCs w:val="24"/>
                <w:highlight w:val="none"/>
              </w:rPr>
              <w:t>15</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咨询及投标文件获取方式</w:t>
            </w:r>
          </w:p>
          <w:p>
            <w:pPr>
              <w:autoSpaceDE w:val="0"/>
              <w:autoSpaceDN w:val="0"/>
              <w:adjustRightInd w:val="0"/>
              <w:spacing w:line="440" w:lineRule="exact"/>
              <w:rPr>
                <w:rFonts w:hint="eastAsia" w:ascii="宋体" w:hAnsi="宋体" w:eastAsia="宋体" w:cs="宋体"/>
                <w:kern w:val="0"/>
                <w:sz w:val="24"/>
                <w:szCs w:val="24"/>
                <w:highlight w:val="none"/>
                <w:lang w:val="zh-CN"/>
              </w:rPr>
            </w:pP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Times New Roman"/>
                <w:color w:val="FF000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咨询截止时间：202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lang w:val="zh-CN"/>
              </w:rPr>
              <w:t>年</w:t>
            </w:r>
            <w:r>
              <w:rPr>
                <w:rFonts w:hint="eastAsia" w:ascii="宋体" w:hAnsi="宋体" w:eastAsia="宋体" w:cs="宋体"/>
                <w:kern w:val="0"/>
                <w:sz w:val="24"/>
                <w:szCs w:val="24"/>
                <w:highlight w:val="none"/>
                <w:lang w:val="en-US" w:eastAsia="zh-CN"/>
              </w:rPr>
              <w:t>3</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22</w:t>
            </w:r>
            <w:r>
              <w:rPr>
                <w:rFonts w:hint="eastAsia" w:ascii="宋体" w:hAnsi="宋体" w:cs="宋体"/>
                <w:kern w:val="0"/>
                <w:sz w:val="24"/>
                <w:szCs w:val="24"/>
                <w:highlight w:val="none"/>
              </w:rPr>
              <w:t>日</w:t>
            </w:r>
            <w:r>
              <w:rPr>
                <w:rFonts w:hint="eastAsia" w:ascii="宋体" w:hAnsi="宋体" w:eastAsia="宋体" w:cs="宋体"/>
                <w:kern w:val="0"/>
                <w:sz w:val="24"/>
                <w:szCs w:val="24"/>
                <w:highlight w:val="none"/>
                <w:lang w:val="zh-CN"/>
              </w:rPr>
              <w:t>1</w:t>
            </w:r>
            <w:r>
              <w:rPr>
                <w:rFonts w:hint="eastAsia" w:ascii="宋体" w:hAnsi="宋体" w:eastAsia="宋体" w:cs="宋体"/>
                <w:kern w:val="0"/>
                <w:sz w:val="24"/>
                <w:szCs w:val="24"/>
                <w:highlight w:val="none"/>
              </w:rPr>
              <w:t>8</w:t>
            </w:r>
            <w:r>
              <w:rPr>
                <w:rFonts w:hint="eastAsia" w:ascii="宋体" w:hAnsi="宋体" w:eastAsia="宋体" w:cs="宋体"/>
                <w:kern w:val="0"/>
                <w:sz w:val="24"/>
                <w:szCs w:val="24"/>
                <w:highlight w:val="none"/>
                <w:lang w:val="zh-CN"/>
              </w:rPr>
              <w:t>时前；</w:t>
            </w:r>
            <w:r>
              <w:rPr>
                <w:rFonts w:hint="eastAsia" w:ascii="宋体" w:hAnsi="宋体" w:eastAsia="宋体" w:cs="Times New Roman"/>
                <w:sz w:val="24"/>
                <w:szCs w:val="24"/>
                <w:highlight w:val="none"/>
              </w:rPr>
              <w:t>咨询方式为电话咨询或现场踏勘。</w:t>
            </w:r>
          </w:p>
          <w:p>
            <w:pPr>
              <w:spacing w:line="360" w:lineRule="auto"/>
              <w:rPr>
                <w:rFonts w:hint="eastAsia" w:ascii="宋体" w:hAnsi="宋体" w:eastAsia="宋体" w:cs="宋体"/>
                <w:kern w:val="0"/>
                <w:sz w:val="24"/>
                <w:szCs w:val="24"/>
                <w:highlight w:val="none"/>
              </w:rPr>
            </w:pPr>
            <w:r>
              <w:rPr>
                <w:rFonts w:hint="eastAsia" w:ascii="宋体" w:hAnsi="宋体" w:eastAsia="宋体" w:cs="Times New Roman"/>
                <w:color w:val="000000"/>
                <w:sz w:val="24"/>
                <w:szCs w:val="24"/>
                <w:highlight w:val="none"/>
              </w:rPr>
              <w:t>联系人：谈超龙，电话：</w:t>
            </w:r>
            <w:r>
              <w:rPr>
                <w:rFonts w:hint="eastAsia" w:ascii="宋体" w:hAnsi="宋体"/>
                <w:color w:val="000000"/>
                <w:sz w:val="24"/>
                <w:szCs w:val="24"/>
                <w:highlight w:val="none"/>
              </w:rPr>
              <w:t>18191738443</w:t>
            </w:r>
          </w:p>
          <w:p>
            <w:pPr>
              <w:autoSpaceDE w:val="0"/>
              <w:autoSpaceDN w:val="0"/>
              <w:adjustRightInd w:val="0"/>
              <w:spacing w:line="44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2、比选文件获取方式：通过中垦牧乳业官网获取http://www.zhongkendairy.com/notice/c1023.html</w:t>
            </w:r>
          </w:p>
          <w:p>
            <w:pPr>
              <w:autoSpaceDE w:val="0"/>
              <w:autoSpaceDN w:val="0"/>
              <w:adjustRightInd w:val="0"/>
              <w:spacing w:line="440" w:lineRule="exac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发布时间：202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3月16日</w:t>
            </w: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3月23日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rPr>
            </w:pPr>
            <w:r>
              <w:rPr>
                <w:rFonts w:hint="eastAsia" w:ascii="宋体" w:hAnsi="宋体" w:cs="宋体"/>
                <w:kern w:val="0"/>
                <w:sz w:val="24"/>
                <w:szCs w:val="24"/>
                <w:highlight w:val="none"/>
              </w:rPr>
              <w:t>16</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投诉</w:t>
            </w:r>
          </w:p>
        </w:tc>
        <w:tc>
          <w:tcPr>
            <w:tcW w:w="6662" w:type="dxa"/>
            <w:tcBorders>
              <w:top w:val="single" w:color="auto" w:sz="4" w:space="0"/>
              <w:left w:val="single" w:color="auto" w:sz="4" w:space="0"/>
              <w:bottom w:val="single" w:color="auto" w:sz="4" w:space="0"/>
              <w:right w:val="single" w:color="auto" w:sz="4" w:space="0"/>
            </w:tcBorders>
            <w:noWrap/>
            <w:vAlign w:val="center"/>
          </w:tcPr>
          <w:p>
            <w:pPr>
              <w:pStyle w:val="6"/>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投标人若有异议，可向招标人监管部门——</w:t>
            </w:r>
            <w:r>
              <w:rPr>
                <w:rFonts w:hint="eastAsia" w:ascii="宋体" w:hAnsi="宋体" w:eastAsia="宋体" w:cs="宋体"/>
                <w:sz w:val="24"/>
                <w:szCs w:val="24"/>
                <w:highlight w:val="none"/>
              </w:rPr>
              <w:t>中垦牧乳业（集团）股</w:t>
            </w:r>
            <w:r>
              <w:rPr>
                <w:rFonts w:hint="eastAsia" w:ascii="宋体" w:hAnsi="宋体" w:eastAsia="宋体" w:cs="宋体"/>
                <w:kern w:val="0"/>
                <w:sz w:val="24"/>
                <w:szCs w:val="24"/>
                <w:highlight w:val="none"/>
                <w:lang w:val="zh-CN"/>
              </w:rPr>
              <w:t>份有限公司进行投诉。投诉电话：</w:t>
            </w:r>
            <w:r>
              <w:rPr>
                <w:rFonts w:hint="eastAsia" w:ascii="宋体" w:hAnsi="宋体" w:eastAsia="宋体" w:cs="宋体"/>
                <w:kern w:val="0"/>
                <w:sz w:val="24"/>
                <w:szCs w:val="24"/>
                <w:highlight w:val="none"/>
                <w:lang w:val="en-US" w:eastAsia="zh-CN"/>
              </w:rPr>
              <w:t>023-63211638</w:t>
            </w:r>
            <w:r>
              <w:rPr>
                <w:rFonts w:hint="eastAsia" w:ascii="宋体" w:hAnsi="宋体" w:eastAsia="宋体" w:cs="宋体"/>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jc w:val="center"/>
              <w:rPr>
                <w:rFonts w:hint="eastAsia" w:ascii="宋体" w:hAnsi="宋体" w:eastAsia="宋体" w:cs="宋体"/>
                <w:kern w:val="0"/>
                <w:sz w:val="24"/>
                <w:szCs w:val="24"/>
                <w:highlight w:val="none"/>
              </w:rPr>
            </w:pPr>
            <w:r>
              <w:rPr>
                <w:rFonts w:hint="eastAsia" w:ascii="宋体" w:hAnsi="宋体" w:cs="宋体"/>
                <w:kern w:val="0"/>
                <w:sz w:val="24"/>
                <w:szCs w:val="24"/>
                <w:highlight w:val="none"/>
              </w:rPr>
              <w:t>17</w:t>
            </w:r>
          </w:p>
        </w:tc>
        <w:tc>
          <w:tcPr>
            <w:tcW w:w="194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投标人不得存在下列情形之一</w:t>
            </w:r>
          </w:p>
        </w:tc>
        <w:tc>
          <w:tcPr>
            <w:tcW w:w="666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4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1、存在投标材料伪造、与实际不符的，则永久取消其投标资格。</w:t>
            </w:r>
          </w:p>
          <w:p>
            <w:pPr>
              <w:autoSpaceDE w:val="0"/>
              <w:autoSpaceDN w:val="0"/>
              <w:adjustRightInd w:val="0"/>
              <w:spacing w:line="44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2、提供虚假资料、围标串标的；与招标人存在利害关系且可能影响招标公正性的。如发现围标、串标现象，扣除</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保证金人民币14000元并永久性取消投标资格。</w:t>
            </w:r>
          </w:p>
          <w:p>
            <w:pPr>
              <w:autoSpaceDE w:val="0"/>
              <w:autoSpaceDN w:val="0"/>
              <w:adjustRightInd w:val="0"/>
              <w:spacing w:line="44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3、被依法暂停或者取消投标资格；被责令停产停业、暂扣或者吊销许可证、暂扣或者吊销执照；进入清算程序，或被宣告破产，或其他丧失履约能力的情形；</w:t>
            </w:r>
          </w:p>
          <w:p>
            <w:pPr>
              <w:autoSpaceDE w:val="0"/>
              <w:autoSpaceDN w:val="0"/>
              <w:adjustRightInd w:val="0"/>
              <w:spacing w:line="44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4、被最高人民法院在“信用中国”网站（www.creditchina.gov.cn）或各级信用信息共享平台中列入失信被执行人名单。</w:t>
            </w:r>
          </w:p>
        </w:tc>
      </w:tr>
    </w:tbl>
    <w:p>
      <w:pPr>
        <w:rPr>
          <w:rFonts w:hint="eastAsia"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sz w:val="44"/>
          <w:szCs w:val="44"/>
          <w:highlight w:val="none"/>
        </w:rPr>
        <w:br w:type="page"/>
      </w:r>
    </w:p>
    <w:bookmarkEnd w:id="1"/>
    <w:p>
      <w:pPr>
        <w:spacing w:line="360" w:lineRule="auto"/>
        <w:ind w:firstLine="880" w:firstLineChars="200"/>
        <w:jc w:val="center"/>
        <w:rPr>
          <w:rFonts w:hint="eastAsia" w:hAnsi="宋体" w:eastAsia="宋体"/>
          <w:b/>
          <w:sz w:val="36"/>
          <w:szCs w:val="36"/>
          <w:highlight w:val="none"/>
        </w:rPr>
      </w:pPr>
      <w:bookmarkStart w:id="6" w:name="_Toc323028726"/>
      <w:r>
        <w:rPr>
          <w:rFonts w:hint="eastAsia" w:ascii="方正小标宋_GBK" w:hAnsi="方正小标宋_GBK" w:eastAsia="方正小标宋_GBK" w:cs="方正小标宋_GBK"/>
          <w:bCs/>
          <w:sz w:val="44"/>
          <w:szCs w:val="44"/>
          <w:highlight w:val="none"/>
        </w:rPr>
        <w:t>第二部分：</w:t>
      </w:r>
      <w:r>
        <w:rPr>
          <w:rFonts w:hint="eastAsia" w:hAnsi="宋体"/>
          <w:b/>
          <w:sz w:val="36"/>
          <w:szCs w:val="36"/>
          <w:highlight w:val="none"/>
        </w:rPr>
        <w:t>评分规则及计算标准</w:t>
      </w:r>
    </w:p>
    <w:p>
      <w:pPr>
        <w:widowControl/>
        <w:spacing w:line="360" w:lineRule="auto"/>
        <w:ind w:firstLine="480" w:firstLineChars="200"/>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一、评标方法及标准：</w:t>
      </w:r>
    </w:p>
    <w:p>
      <w:pPr>
        <w:spacing w:line="360" w:lineRule="auto"/>
        <w:ind w:firstLine="480" w:firstLineChars="200"/>
        <w:jc w:val="left"/>
        <w:rPr>
          <w:rFonts w:hint="eastAsia" w:asciiTheme="majorEastAsia" w:hAnsiTheme="majorEastAsia" w:eastAsiaTheme="majorEastAsia" w:cstheme="majorEastAsia"/>
          <w:b/>
          <w:sz w:val="36"/>
          <w:szCs w:val="36"/>
          <w:highlight w:val="none"/>
        </w:rPr>
      </w:pPr>
      <w:r>
        <w:rPr>
          <w:rFonts w:hint="eastAsia" w:asciiTheme="majorEastAsia" w:hAnsiTheme="majorEastAsia" w:eastAsiaTheme="majorEastAsia" w:cstheme="majorEastAsia"/>
          <w:kern w:val="0"/>
          <w:sz w:val="24"/>
          <w:szCs w:val="24"/>
          <w:highlight w:val="none"/>
        </w:rPr>
        <w:t>综合评选，择优推选出合格中选人，形成比选评审意见，参评成员予此签字确认生效。中选结果出来后由项目实施单位邮件或电话通知中选人。</w:t>
      </w:r>
    </w:p>
    <w:p>
      <w:pPr>
        <w:spacing w:line="360" w:lineRule="auto"/>
        <w:ind w:firstLine="480" w:firstLineChars="200"/>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二、评分标准</w:t>
      </w:r>
    </w:p>
    <w:tbl>
      <w:tblPr>
        <w:tblStyle w:val="13"/>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7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713" w:type="dxa"/>
            <w:tcBorders>
              <w:left w:val="single" w:color="auto" w:sz="4" w:space="0"/>
            </w:tcBorders>
            <w:vAlign w:val="center"/>
          </w:tcPr>
          <w:p>
            <w:pPr>
              <w:spacing w:line="240" w:lineRule="auto"/>
              <w:jc w:val="center"/>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sz w:val="24"/>
                <w:szCs w:val="24"/>
                <w:highlight w:val="none"/>
              </w:rPr>
              <w:t>评分项及分值</w:t>
            </w:r>
          </w:p>
        </w:tc>
        <w:tc>
          <w:tcPr>
            <w:tcW w:w="7463" w:type="dxa"/>
            <w:vAlign w:val="center"/>
          </w:tcPr>
          <w:p>
            <w:pPr>
              <w:spacing w:line="240" w:lineRule="auto"/>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3" w:type="dxa"/>
            <w:vMerge w:val="restart"/>
            <w:tcBorders>
              <w:left w:val="single" w:color="auto" w:sz="4" w:space="0"/>
              <w:right w:val="single" w:color="auto" w:sz="4" w:space="0"/>
            </w:tcBorders>
            <w:vAlign w:val="center"/>
          </w:tcPr>
          <w:p>
            <w:pPr>
              <w:spacing w:line="240" w:lineRule="auto"/>
              <w:jc w:val="center"/>
              <w:rPr>
                <w:rFonts w:hint="eastAsia" w:asciiTheme="majorEastAsia" w:hAnsiTheme="majorEastAsia" w:eastAsiaTheme="majorEastAsia" w:cstheme="majorEastAsia"/>
                <w:b w:val="0"/>
                <w:bCs/>
                <w:color w:val="000000"/>
                <w:sz w:val="24"/>
                <w:szCs w:val="24"/>
                <w:highlight w:val="none"/>
              </w:rPr>
            </w:pPr>
            <w:r>
              <w:rPr>
                <w:rFonts w:hint="eastAsia" w:asciiTheme="majorEastAsia" w:hAnsiTheme="majorEastAsia" w:eastAsiaTheme="majorEastAsia" w:cstheme="majorEastAsia"/>
                <w:b w:val="0"/>
                <w:bCs/>
                <w:color w:val="000000"/>
                <w:sz w:val="24"/>
                <w:szCs w:val="24"/>
                <w:highlight w:val="none"/>
              </w:rPr>
              <w:t xml:space="preserve">商务分  </w:t>
            </w:r>
          </w:p>
          <w:p>
            <w:pPr>
              <w:spacing w:line="240" w:lineRule="auto"/>
              <w:jc w:val="center"/>
              <w:rPr>
                <w:rFonts w:hint="eastAsia" w:asciiTheme="majorEastAsia" w:hAnsiTheme="majorEastAsia" w:eastAsiaTheme="majorEastAsia" w:cstheme="majorEastAsia"/>
                <w:b w:val="0"/>
                <w:bCs/>
                <w:color w:val="000000"/>
                <w:sz w:val="24"/>
                <w:szCs w:val="24"/>
                <w:highlight w:val="none"/>
              </w:rPr>
            </w:pPr>
            <w:r>
              <w:rPr>
                <w:rFonts w:hint="eastAsia" w:asciiTheme="majorEastAsia" w:hAnsiTheme="majorEastAsia" w:eastAsiaTheme="majorEastAsia" w:cstheme="majorEastAsia"/>
                <w:b w:val="0"/>
                <w:bCs/>
                <w:color w:val="000000"/>
                <w:sz w:val="24"/>
                <w:szCs w:val="24"/>
                <w:highlight w:val="none"/>
              </w:rPr>
              <w:t>26分</w:t>
            </w:r>
          </w:p>
        </w:tc>
        <w:tc>
          <w:tcPr>
            <w:tcW w:w="7463" w:type="dxa"/>
            <w:vAlign w:val="center"/>
          </w:tcPr>
          <w:p>
            <w:pPr>
              <w:spacing w:line="240" w:lineRule="auto"/>
              <w:rPr>
                <w:rFonts w:hint="eastAsia" w:asciiTheme="majorEastAsia" w:hAnsiTheme="majorEastAsia" w:eastAsiaTheme="majorEastAsia" w:cstheme="majorEastAsia"/>
                <w:color w:val="000000"/>
                <w:sz w:val="20"/>
                <w:szCs w:val="20"/>
                <w:highlight w:val="none"/>
              </w:rPr>
            </w:pPr>
            <w:r>
              <w:rPr>
                <w:rFonts w:hint="eastAsia" w:asciiTheme="majorEastAsia" w:hAnsiTheme="majorEastAsia" w:eastAsiaTheme="majorEastAsia" w:cstheme="majorEastAsia"/>
                <w:color w:val="000000"/>
                <w:sz w:val="20"/>
                <w:szCs w:val="20"/>
                <w:highlight w:val="none"/>
              </w:rPr>
              <w:t>提供一份相关服务业绩得2分，最高得6分，未提供不得分。（6分）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1713" w:type="dxa"/>
            <w:vMerge w:val="continue"/>
            <w:tcBorders>
              <w:left w:val="single" w:color="auto" w:sz="4" w:space="0"/>
              <w:right w:val="single" w:color="auto" w:sz="4" w:space="0"/>
            </w:tcBorders>
            <w:vAlign w:val="center"/>
          </w:tcPr>
          <w:p>
            <w:pPr>
              <w:spacing w:line="240" w:lineRule="auto"/>
              <w:jc w:val="center"/>
              <w:rPr>
                <w:rFonts w:hint="eastAsia" w:asciiTheme="majorEastAsia" w:hAnsiTheme="majorEastAsia" w:eastAsiaTheme="majorEastAsia" w:cstheme="majorEastAsia"/>
                <w:b w:val="0"/>
                <w:bCs/>
                <w:color w:val="000000"/>
                <w:sz w:val="24"/>
                <w:szCs w:val="24"/>
                <w:highlight w:val="none"/>
              </w:rPr>
            </w:pPr>
          </w:p>
        </w:tc>
        <w:tc>
          <w:tcPr>
            <w:tcW w:w="7463" w:type="dxa"/>
            <w:vAlign w:val="center"/>
          </w:tcPr>
          <w:p>
            <w:pPr>
              <w:spacing w:line="240" w:lineRule="auto"/>
              <w:rPr>
                <w:rFonts w:hint="eastAsia" w:asciiTheme="majorEastAsia" w:hAnsiTheme="majorEastAsia" w:eastAsiaTheme="majorEastAsia" w:cstheme="majorEastAsia"/>
                <w:color w:val="000000"/>
                <w:sz w:val="20"/>
                <w:szCs w:val="20"/>
                <w:highlight w:val="none"/>
              </w:rPr>
            </w:pPr>
            <w:r>
              <w:rPr>
                <w:rFonts w:hint="eastAsia" w:asciiTheme="majorEastAsia" w:hAnsiTheme="majorEastAsia" w:eastAsiaTheme="majorEastAsia" w:cstheme="majorEastAsia"/>
                <w:color w:val="000000"/>
                <w:sz w:val="20"/>
                <w:szCs w:val="20"/>
                <w:highlight w:val="none"/>
              </w:rPr>
              <w:t>落实具体项目负责人，详细列明实施装卸料、割料原料转运所需的人员编制</w:t>
            </w:r>
            <w:r>
              <w:rPr>
                <w:rFonts w:hint="eastAsia" w:asciiTheme="majorEastAsia" w:hAnsiTheme="majorEastAsia" w:eastAsiaTheme="majorEastAsia" w:cstheme="majorEastAsia"/>
                <w:color w:val="000000"/>
                <w:sz w:val="20"/>
                <w:szCs w:val="20"/>
                <w:highlight w:val="none"/>
                <w:lang w:eastAsia="zh-CN"/>
              </w:rPr>
              <w:t>，</w:t>
            </w:r>
            <w:r>
              <w:rPr>
                <w:rFonts w:hint="eastAsia" w:asciiTheme="majorEastAsia" w:hAnsiTheme="majorEastAsia" w:eastAsiaTheme="majorEastAsia" w:cstheme="majorEastAsia"/>
                <w:color w:val="000000" w:themeColor="text1"/>
                <w:sz w:val="20"/>
                <w:szCs w:val="20"/>
                <w:highlight w:val="none"/>
                <w14:textFill>
                  <w14:solidFill>
                    <w14:schemeClr w14:val="tx1"/>
                  </w14:solidFill>
                </w14:textFill>
              </w:rPr>
              <w:t>主要人员配置要求为：</w:t>
            </w:r>
            <w:r>
              <w:rPr>
                <w:rFonts w:hint="eastAsia" w:asciiTheme="majorEastAsia" w:hAnsiTheme="majorEastAsia" w:eastAsiaTheme="majorEastAsia" w:cstheme="majorEastAsia"/>
                <w:color w:val="000000"/>
                <w:sz w:val="20"/>
                <w:szCs w:val="20"/>
                <w:highlight w:val="none"/>
              </w:rPr>
              <w:t>小料制作、库房原料转运</w:t>
            </w:r>
            <w:r>
              <w:rPr>
                <w:rFonts w:hint="eastAsia" w:asciiTheme="majorEastAsia" w:hAnsiTheme="majorEastAsia" w:eastAsiaTheme="majorEastAsia" w:cstheme="majorEastAsia"/>
                <w:color w:val="000000"/>
                <w:sz w:val="20"/>
                <w:szCs w:val="20"/>
                <w:highlight w:val="none"/>
                <w:lang w:val="en-US" w:eastAsia="zh-CN"/>
              </w:rPr>
              <w:t>3人</w:t>
            </w:r>
            <w:r>
              <w:rPr>
                <w:rFonts w:hint="eastAsia" w:asciiTheme="majorEastAsia" w:hAnsiTheme="majorEastAsia" w:eastAsiaTheme="majorEastAsia" w:cstheme="majorEastAsia"/>
                <w:color w:val="000000"/>
                <w:sz w:val="20"/>
                <w:szCs w:val="20"/>
                <w:highlight w:val="none"/>
              </w:rPr>
              <w:t>，</w:t>
            </w:r>
            <w:r>
              <w:rPr>
                <w:rFonts w:hint="eastAsia" w:asciiTheme="majorEastAsia" w:hAnsiTheme="majorEastAsia" w:eastAsiaTheme="majorEastAsia" w:cstheme="majorEastAsia"/>
                <w:color w:val="000000" w:themeColor="text1"/>
                <w:sz w:val="20"/>
                <w:szCs w:val="20"/>
                <w:highlight w:val="none"/>
                <w:lang w:val="en-US" w:eastAsia="zh-CN"/>
                <w14:textFill>
                  <w14:solidFill>
                    <w14:schemeClr w14:val="tx1"/>
                  </w14:solidFill>
                </w14:textFill>
              </w:rPr>
              <w:t>卸料</w:t>
            </w:r>
            <w:r>
              <w:rPr>
                <w:rFonts w:hint="eastAsia" w:asciiTheme="majorEastAsia" w:hAnsiTheme="majorEastAsia" w:eastAsiaTheme="majorEastAsia" w:cstheme="majorEastAsia"/>
                <w:color w:val="000000" w:themeColor="text1"/>
                <w:sz w:val="20"/>
                <w:szCs w:val="20"/>
                <w:highlight w:val="none"/>
                <w14:textFill>
                  <w14:solidFill>
                    <w14:schemeClr w14:val="tx1"/>
                  </w14:solidFill>
                </w14:textFill>
              </w:rPr>
              <w:t>人员</w:t>
            </w:r>
            <w:r>
              <w:rPr>
                <w:rFonts w:hint="eastAsia" w:asciiTheme="majorEastAsia" w:hAnsiTheme="majorEastAsia" w:eastAsiaTheme="majorEastAsia" w:cstheme="majorEastAsia"/>
                <w:color w:val="000000" w:themeColor="text1"/>
                <w:sz w:val="20"/>
                <w:szCs w:val="20"/>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0"/>
                <w:szCs w:val="20"/>
                <w:highlight w:val="none"/>
                <w14:textFill>
                  <w14:solidFill>
                    <w14:schemeClr w14:val="tx1"/>
                  </w14:solidFill>
                </w14:textFill>
              </w:rPr>
              <w:t>人</w:t>
            </w:r>
            <w:r>
              <w:rPr>
                <w:rFonts w:hint="eastAsia" w:asciiTheme="majorEastAsia" w:hAnsiTheme="majorEastAsia" w:eastAsiaTheme="majorEastAsia" w:cstheme="majorEastAsia"/>
                <w:color w:val="000000" w:themeColor="text1"/>
                <w:sz w:val="20"/>
                <w:szCs w:val="20"/>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0"/>
                <w:szCs w:val="20"/>
                <w:highlight w:val="none"/>
                <w:lang w:val="en-US" w:eastAsia="zh-CN"/>
                <w14:textFill>
                  <w14:solidFill>
                    <w14:schemeClr w14:val="tx1"/>
                  </w14:solidFill>
                </w14:textFill>
              </w:rPr>
              <w:t>现场管理1人</w:t>
            </w:r>
            <w:r>
              <w:rPr>
                <w:rFonts w:hint="eastAsia" w:asciiTheme="majorEastAsia" w:hAnsiTheme="majorEastAsia" w:eastAsiaTheme="majorEastAsia" w:cstheme="majorEastAsia"/>
                <w:color w:val="000000" w:themeColor="text1"/>
                <w:sz w:val="20"/>
                <w:szCs w:val="20"/>
                <w:highlight w:val="none"/>
                <w14:textFill>
                  <w14:solidFill>
                    <w14:schemeClr w14:val="tx1"/>
                  </w14:solidFill>
                </w14:textFill>
              </w:rPr>
              <w:t>；满足基本要求者得18分；每多加1人加1分，最高不超过2分。（20分）（备注：承诺人员需在中标后三个工作日内配备到位）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1713" w:type="dxa"/>
            <w:tcBorders>
              <w:left w:val="single" w:color="auto" w:sz="4" w:space="0"/>
              <w:right w:val="single" w:color="auto" w:sz="4" w:space="0"/>
            </w:tcBorders>
            <w:vAlign w:val="center"/>
          </w:tcPr>
          <w:p>
            <w:pPr>
              <w:spacing w:line="240" w:lineRule="auto"/>
              <w:jc w:val="center"/>
              <w:rPr>
                <w:rFonts w:hint="eastAsia" w:asciiTheme="majorEastAsia" w:hAnsiTheme="majorEastAsia" w:eastAsiaTheme="majorEastAsia" w:cstheme="majorEastAsia"/>
                <w:b w:val="0"/>
                <w:bCs/>
                <w:color w:val="000000"/>
                <w:sz w:val="24"/>
                <w:szCs w:val="24"/>
                <w:highlight w:val="none"/>
              </w:rPr>
            </w:pPr>
            <w:r>
              <w:rPr>
                <w:rFonts w:hint="eastAsia" w:asciiTheme="majorEastAsia" w:hAnsiTheme="majorEastAsia" w:eastAsiaTheme="majorEastAsia" w:cstheme="majorEastAsia"/>
                <w:b w:val="0"/>
                <w:bCs/>
                <w:color w:val="000000"/>
                <w:sz w:val="24"/>
                <w:szCs w:val="24"/>
                <w:highlight w:val="none"/>
              </w:rPr>
              <w:t>技术分</w:t>
            </w:r>
          </w:p>
          <w:p>
            <w:pPr>
              <w:spacing w:line="240" w:lineRule="auto"/>
              <w:jc w:val="center"/>
              <w:rPr>
                <w:rFonts w:hint="eastAsia" w:asciiTheme="majorEastAsia" w:hAnsiTheme="majorEastAsia" w:eastAsiaTheme="majorEastAsia" w:cstheme="majorEastAsia"/>
                <w:b w:val="0"/>
                <w:bCs/>
                <w:color w:val="000000"/>
                <w:sz w:val="24"/>
                <w:szCs w:val="24"/>
                <w:highlight w:val="none"/>
              </w:rPr>
            </w:pPr>
            <w:r>
              <w:rPr>
                <w:rFonts w:hint="eastAsia" w:asciiTheme="majorEastAsia" w:hAnsiTheme="majorEastAsia" w:eastAsiaTheme="majorEastAsia" w:cstheme="majorEastAsia"/>
                <w:b w:val="0"/>
                <w:bCs/>
                <w:color w:val="000000"/>
                <w:sz w:val="24"/>
                <w:szCs w:val="24"/>
                <w:highlight w:val="none"/>
              </w:rPr>
              <w:t>24分</w:t>
            </w:r>
          </w:p>
        </w:tc>
        <w:tc>
          <w:tcPr>
            <w:tcW w:w="7463" w:type="dxa"/>
            <w:vAlign w:val="center"/>
          </w:tcPr>
          <w:p>
            <w:pPr>
              <w:spacing w:line="240" w:lineRule="auto"/>
              <w:rPr>
                <w:rFonts w:hint="eastAsia" w:asciiTheme="majorEastAsia" w:hAnsiTheme="majorEastAsia" w:eastAsiaTheme="majorEastAsia" w:cstheme="majorEastAsia"/>
                <w:color w:val="000000"/>
                <w:sz w:val="20"/>
                <w:szCs w:val="20"/>
                <w:highlight w:val="none"/>
              </w:rPr>
            </w:pPr>
            <w:r>
              <w:rPr>
                <w:rFonts w:hint="eastAsia" w:asciiTheme="majorEastAsia" w:hAnsiTheme="majorEastAsia" w:eastAsiaTheme="majorEastAsia" w:cstheme="majorEastAsia"/>
                <w:color w:val="000000"/>
                <w:sz w:val="20"/>
                <w:szCs w:val="20"/>
                <w:highlight w:val="none"/>
              </w:rPr>
              <w:t>详细写明服务方案、技术措施及安全管理等；尤其写明装卸料、割料、原料转运方案，技术难点（安全管理）、应急人员储备措施，根据方案及管理措施的可操作性评分，优秀得18分-24分，中得9分-17分，差得0分-8分。（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713" w:type="dxa"/>
            <w:vMerge w:val="restart"/>
            <w:tcBorders>
              <w:left w:val="single" w:color="auto" w:sz="4" w:space="0"/>
              <w:right w:val="single" w:color="auto" w:sz="4" w:space="0"/>
            </w:tcBorders>
          </w:tcPr>
          <w:p>
            <w:pPr>
              <w:spacing w:line="240" w:lineRule="auto"/>
              <w:jc w:val="center"/>
              <w:rPr>
                <w:rFonts w:hint="eastAsia" w:asciiTheme="majorEastAsia" w:hAnsiTheme="majorEastAsia" w:eastAsiaTheme="majorEastAsia" w:cstheme="majorEastAsia"/>
                <w:b w:val="0"/>
                <w:bCs/>
                <w:color w:val="000000"/>
                <w:sz w:val="24"/>
                <w:szCs w:val="24"/>
                <w:highlight w:val="none"/>
              </w:rPr>
            </w:pPr>
          </w:p>
          <w:p>
            <w:pPr>
              <w:spacing w:line="240" w:lineRule="auto"/>
              <w:jc w:val="center"/>
              <w:rPr>
                <w:rFonts w:hint="eastAsia" w:asciiTheme="majorEastAsia" w:hAnsiTheme="majorEastAsia" w:eastAsiaTheme="majorEastAsia" w:cstheme="majorEastAsia"/>
                <w:b w:val="0"/>
                <w:bCs/>
                <w:color w:val="000000"/>
                <w:sz w:val="24"/>
                <w:szCs w:val="24"/>
                <w:highlight w:val="none"/>
              </w:rPr>
            </w:pPr>
            <w:r>
              <w:rPr>
                <w:rFonts w:hint="eastAsia" w:asciiTheme="majorEastAsia" w:hAnsiTheme="majorEastAsia" w:eastAsiaTheme="majorEastAsia" w:cstheme="majorEastAsia"/>
                <w:b w:val="0"/>
                <w:bCs/>
                <w:color w:val="000000"/>
                <w:sz w:val="24"/>
                <w:szCs w:val="24"/>
                <w:highlight w:val="none"/>
              </w:rPr>
              <w:t xml:space="preserve"> </w:t>
            </w:r>
          </w:p>
          <w:p>
            <w:pPr>
              <w:pStyle w:val="21"/>
              <w:spacing w:line="240" w:lineRule="auto"/>
              <w:rPr>
                <w:rFonts w:hint="eastAsia" w:asciiTheme="majorEastAsia" w:hAnsiTheme="majorEastAsia" w:eastAsiaTheme="majorEastAsia" w:cstheme="majorEastAsia"/>
                <w:b w:val="0"/>
                <w:bCs/>
                <w:highlight w:val="none"/>
                <w:lang w:val="en-US"/>
              </w:rPr>
            </w:pPr>
          </w:p>
          <w:p>
            <w:pPr>
              <w:spacing w:line="240" w:lineRule="auto"/>
              <w:jc w:val="center"/>
              <w:rPr>
                <w:rFonts w:hint="eastAsia" w:asciiTheme="majorEastAsia" w:hAnsiTheme="majorEastAsia" w:eastAsiaTheme="majorEastAsia" w:cstheme="majorEastAsia"/>
                <w:b w:val="0"/>
                <w:bCs/>
                <w:color w:val="000000"/>
                <w:sz w:val="24"/>
                <w:szCs w:val="24"/>
                <w:highlight w:val="none"/>
              </w:rPr>
            </w:pPr>
            <w:r>
              <w:rPr>
                <w:rFonts w:hint="eastAsia" w:asciiTheme="majorEastAsia" w:hAnsiTheme="majorEastAsia" w:eastAsiaTheme="majorEastAsia" w:cstheme="majorEastAsia"/>
                <w:b w:val="0"/>
                <w:bCs/>
                <w:color w:val="000000"/>
                <w:sz w:val="24"/>
                <w:szCs w:val="24"/>
                <w:highlight w:val="none"/>
              </w:rPr>
              <w:t>报价分</w:t>
            </w:r>
          </w:p>
          <w:p>
            <w:pPr>
              <w:spacing w:line="240" w:lineRule="auto"/>
              <w:jc w:val="center"/>
              <w:rPr>
                <w:rFonts w:hint="eastAsia" w:asciiTheme="majorEastAsia" w:hAnsiTheme="majorEastAsia" w:eastAsiaTheme="majorEastAsia" w:cstheme="majorEastAsia"/>
                <w:b w:val="0"/>
                <w:bCs/>
                <w:color w:val="000000"/>
                <w:sz w:val="24"/>
                <w:szCs w:val="24"/>
                <w:highlight w:val="none"/>
              </w:rPr>
            </w:pPr>
            <w:r>
              <w:rPr>
                <w:rFonts w:hint="eastAsia" w:asciiTheme="majorEastAsia" w:hAnsiTheme="majorEastAsia" w:eastAsiaTheme="majorEastAsia" w:cstheme="majorEastAsia"/>
                <w:b w:val="0"/>
                <w:bCs/>
                <w:color w:val="000000"/>
                <w:sz w:val="24"/>
                <w:szCs w:val="24"/>
                <w:highlight w:val="none"/>
              </w:rPr>
              <w:t>50分</w:t>
            </w:r>
          </w:p>
        </w:tc>
        <w:tc>
          <w:tcPr>
            <w:tcW w:w="7463" w:type="dxa"/>
            <w:vAlign w:val="center"/>
          </w:tcPr>
          <w:p>
            <w:pPr>
              <w:spacing w:line="240" w:lineRule="auto"/>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0"/>
                <w:szCs w:val="20"/>
                <w:highlight w:val="none"/>
                <w:lang w:val="en-US" w:eastAsia="zh-CN"/>
              </w:rPr>
              <w:t>袋装料卸货及</w:t>
            </w:r>
            <w:r>
              <w:rPr>
                <w:rFonts w:hint="eastAsia" w:asciiTheme="majorEastAsia" w:hAnsiTheme="majorEastAsia" w:eastAsiaTheme="majorEastAsia" w:cstheme="majorEastAsia"/>
                <w:color w:val="000000"/>
                <w:sz w:val="20"/>
                <w:szCs w:val="20"/>
                <w:highlight w:val="none"/>
              </w:rPr>
              <w:t>转运等服务报价分：采用最低价优先法计算，即满足比选的要求且投标报价最低价为评标基准价，其价格分为20分。其他参选人的报价分统一按照下列公式计算：报价得分＝</w:t>
            </w:r>
            <w:r>
              <w:rPr>
                <w:rFonts w:hint="eastAsia" w:asciiTheme="majorEastAsia" w:hAnsiTheme="majorEastAsia" w:eastAsiaTheme="majorEastAsia" w:cstheme="majorEastAsia"/>
                <w:color w:val="000000"/>
                <w:sz w:val="20"/>
                <w:szCs w:val="20"/>
                <w:highlight w:val="none"/>
                <w:lang w:val="en-US" w:eastAsia="zh-CN"/>
              </w:rPr>
              <w:t>2</w:t>
            </w:r>
            <w:r>
              <w:rPr>
                <w:rFonts w:hint="eastAsia" w:asciiTheme="majorEastAsia" w:hAnsiTheme="majorEastAsia" w:eastAsiaTheme="majorEastAsia" w:cstheme="majorEastAsia"/>
                <w:color w:val="000000"/>
                <w:sz w:val="20"/>
                <w:szCs w:val="20"/>
                <w:highlight w:val="none"/>
              </w:rPr>
              <w:t>0×（最低报价÷投标报价）。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1713" w:type="dxa"/>
            <w:vMerge w:val="continue"/>
            <w:tcBorders>
              <w:left w:val="single" w:color="auto" w:sz="4" w:space="0"/>
              <w:right w:val="single" w:color="auto" w:sz="4" w:space="0"/>
            </w:tcBorders>
          </w:tcPr>
          <w:p>
            <w:pPr>
              <w:spacing w:line="240" w:lineRule="auto"/>
              <w:jc w:val="center"/>
              <w:rPr>
                <w:rFonts w:hint="eastAsia" w:asciiTheme="majorEastAsia" w:hAnsiTheme="majorEastAsia" w:eastAsiaTheme="majorEastAsia" w:cstheme="majorEastAsia"/>
                <w:b/>
                <w:color w:val="000000"/>
                <w:sz w:val="24"/>
                <w:szCs w:val="24"/>
                <w:highlight w:val="none"/>
              </w:rPr>
            </w:pPr>
          </w:p>
        </w:tc>
        <w:tc>
          <w:tcPr>
            <w:tcW w:w="7463" w:type="dxa"/>
            <w:vAlign w:val="center"/>
          </w:tcPr>
          <w:p>
            <w:pPr>
              <w:spacing w:line="240" w:lineRule="auto"/>
              <w:rPr>
                <w:rFonts w:hint="eastAsia" w:asciiTheme="majorEastAsia" w:hAnsiTheme="majorEastAsia" w:eastAsiaTheme="majorEastAsia" w:cstheme="majorEastAsia"/>
                <w:color w:val="000000"/>
                <w:sz w:val="20"/>
                <w:szCs w:val="20"/>
                <w:highlight w:val="none"/>
              </w:rPr>
            </w:pPr>
            <w:r>
              <w:rPr>
                <w:rFonts w:hint="eastAsia" w:asciiTheme="majorEastAsia" w:hAnsiTheme="majorEastAsia" w:eastAsiaTheme="majorEastAsia" w:cstheme="majorEastAsia"/>
                <w:color w:val="000000"/>
                <w:sz w:val="20"/>
                <w:szCs w:val="20"/>
                <w:highlight w:val="none"/>
                <w:lang w:val="en-US" w:eastAsia="zh-CN"/>
              </w:rPr>
              <w:t>散装料卸货及转运服务</w:t>
            </w:r>
            <w:r>
              <w:rPr>
                <w:rFonts w:hint="eastAsia" w:asciiTheme="majorEastAsia" w:hAnsiTheme="majorEastAsia" w:eastAsiaTheme="majorEastAsia" w:cstheme="majorEastAsia"/>
                <w:color w:val="000000"/>
                <w:sz w:val="20"/>
                <w:szCs w:val="20"/>
                <w:highlight w:val="none"/>
              </w:rPr>
              <w:t>报价分：采用最低价优先法计算，即满足比选的要求且投标报价最低价为评标基准价，其价格分为1</w:t>
            </w:r>
            <w:r>
              <w:rPr>
                <w:rFonts w:hint="eastAsia" w:asciiTheme="majorEastAsia" w:hAnsiTheme="majorEastAsia" w:eastAsiaTheme="majorEastAsia" w:cstheme="majorEastAsia"/>
                <w:color w:val="000000"/>
                <w:sz w:val="20"/>
                <w:szCs w:val="20"/>
                <w:highlight w:val="none"/>
                <w:lang w:val="en-US" w:eastAsia="zh-CN"/>
              </w:rPr>
              <w:t>5</w:t>
            </w:r>
            <w:r>
              <w:rPr>
                <w:rFonts w:hint="eastAsia" w:asciiTheme="majorEastAsia" w:hAnsiTheme="majorEastAsia" w:eastAsiaTheme="majorEastAsia" w:cstheme="majorEastAsia"/>
                <w:color w:val="000000"/>
                <w:sz w:val="20"/>
                <w:szCs w:val="20"/>
                <w:highlight w:val="none"/>
              </w:rPr>
              <w:t>分。其他参选人的报价分统一按照下列公式计算：报价得分＝1</w:t>
            </w:r>
            <w:r>
              <w:rPr>
                <w:rFonts w:hint="eastAsia" w:asciiTheme="majorEastAsia" w:hAnsiTheme="majorEastAsia" w:eastAsiaTheme="majorEastAsia" w:cstheme="majorEastAsia"/>
                <w:color w:val="000000"/>
                <w:sz w:val="20"/>
                <w:szCs w:val="20"/>
                <w:highlight w:val="none"/>
                <w:lang w:val="en-US" w:eastAsia="zh-CN"/>
              </w:rPr>
              <w:t>5</w:t>
            </w:r>
            <w:r>
              <w:rPr>
                <w:rFonts w:hint="eastAsia" w:asciiTheme="majorEastAsia" w:hAnsiTheme="majorEastAsia" w:eastAsiaTheme="majorEastAsia" w:cstheme="majorEastAsia"/>
                <w:color w:val="000000"/>
                <w:sz w:val="20"/>
                <w:szCs w:val="20"/>
                <w:highlight w:val="none"/>
              </w:rPr>
              <w:t>×（最低报价÷投标报价）。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1713" w:type="dxa"/>
            <w:vMerge w:val="continue"/>
            <w:tcBorders>
              <w:left w:val="single" w:color="auto" w:sz="4" w:space="0"/>
              <w:right w:val="single" w:color="auto" w:sz="4" w:space="0"/>
            </w:tcBorders>
          </w:tcPr>
          <w:p>
            <w:pPr>
              <w:spacing w:line="240" w:lineRule="auto"/>
              <w:jc w:val="center"/>
              <w:rPr>
                <w:rFonts w:hint="eastAsia" w:asciiTheme="majorEastAsia" w:hAnsiTheme="majorEastAsia" w:eastAsiaTheme="majorEastAsia" w:cstheme="majorEastAsia"/>
                <w:b/>
                <w:color w:val="000000"/>
                <w:sz w:val="24"/>
                <w:szCs w:val="24"/>
                <w:highlight w:val="none"/>
              </w:rPr>
            </w:pPr>
          </w:p>
        </w:tc>
        <w:tc>
          <w:tcPr>
            <w:tcW w:w="7463" w:type="dxa"/>
            <w:vAlign w:val="center"/>
          </w:tcPr>
          <w:p>
            <w:pPr>
              <w:spacing w:line="240" w:lineRule="auto"/>
              <w:rPr>
                <w:rFonts w:hint="eastAsia" w:asciiTheme="majorEastAsia" w:hAnsiTheme="majorEastAsia" w:eastAsiaTheme="majorEastAsia" w:cstheme="majorEastAsia"/>
                <w:color w:val="000000"/>
                <w:sz w:val="20"/>
                <w:szCs w:val="20"/>
                <w:highlight w:val="none"/>
              </w:rPr>
            </w:pPr>
            <w:r>
              <w:rPr>
                <w:rFonts w:hint="eastAsia" w:asciiTheme="majorEastAsia" w:hAnsiTheme="majorEastAsia" w:eastAsiaTheme="majorEastAsia" w:cstheme="majorEastAsia"/>
                <w:color w:val="000000"/>
                <w:sz w:val="20"/>
                <w:szCs w:val="20"/>
                <w:highlight w:val="none"/>
              </w:rPr>
              <w:t>吨包料</w:t>
            </w:r>
            <w:r>
              <w:rPr>
                <w:rFonts w:hint="eastAsia" w:asciiTheme="majorEastAsia" w:hAnsiTheme="majorEastAsia" w:eastAsiaTheme="majorEastAsia" w:cstheme="majorEastAsia"/>
                <w:color w:val="000000"/>
                <w:sz w:val="20"/>
                <w:szCs w:val="20"/>
                <w:highlight w:val="none"/>
                <w:lang w:val="en-US" w:eastAsia="zh-CN"/>
              </w:rPr>
              <w:t>卸货及</w:t>
            </w:r>
            <w:r>
              <w:rPr>
                <w:rFonts w:hint="eastAsia" w:asciiTheme="majorEastAsia" w:hAnsiTheme="majorEastAsia" w:eastAsiaTheme="majorEastAsia" w:cstheme="majorEastAsia"/>
                <w:color w:val="000000"/>
                <w:sz w:val="20"/>
                <w:szCs w:val="20"/>
                <w:highlight w:val="none"/>
              </w:rPr>
              <w:t>转运</w:t>
            </w:r>
            <w:r>
              <w:rPr>
                <w:rFonts w:hint="eastAsia" w:asciiTheme="majorEastAsia" w:hAnsiTheme="majorEastAsia" w:eastAsiaTheme="majorEastAsia" w:cstheme="majorEastAsia"/>
                <w:color w:val="000000"/>
                <w:sz w:val="20"/>
                <w:szCs w:val="20"/>
                <w:highlight w:val="none"/>
                <w:lang w:val="en-US" w:eastAsia="zh-CN"/>
              </w:rPr>
              <w:t>服务</w:t>
            </w:r>
            <w:r>
              <w:rPr>
                <w:rFonts w:hint="eastAsia" w:asciiTheme="majorEastAsia" w:hAnsiTheme="majorEastAsia" w:eastAsiaTheme="majorEastAsia" w:cstheme="majorEastAsia"/>
                <w:color w:val="000000"/>
                <w:sz w:val="20"/>
                <w:szCs w:val="20"/>
                <w:highlight w:val="none"/>
              </w:rPr>
              <w:t>报价分：采用最低价优先法计算，即满足比选的要求且投标报价最低价为评标基准价，其价格分为1</w:t>
            </w:r>
            <w:r>
              <w:rPr>
                <w:rFonts w:hint="eastAsia" w:asciiTheme="majorEastAsia" w:hAnsiTheme="majorEastAsia" w:eastAsiaTheme="majorEastAsia" w:cstheme="majorEastAsia"/>
                <w:color w:val="000000"/>
                <w:sz w:val="20"/>
                <w:szCs w:val="20"/>
                <w:highlight w:val="none"/>
                <w:lang w:val="en-US" w:eastAsia="zh-CN"/>
              </w:rPr>
              <w:t>5</w:t>
            </w:r>
            <w:r>
              <w:rPr>
                <w:rFonts w:hint="eastAsia" w:asciiTheme="majorEastAsia" w:hAnsiTheme="majorEastAsia" w:eastAsiaTheme="majorEastAsia" w:cstheme="majorEastAsia"/>
                <w:color w:val="000000"/>
                <w:sz w:val="20"/>
                <w:szCs w:val="20"/>
                <w:highlight w:val="none"/>
              </w:rPr>
              <w:t>分。其他参选人的报价分统一按照下列公式计算：报价得分＝1</w:t>
            </w:r>
            <w:r>
              <w:rPr>
                <w:rFonts w:hint="eastAsia" w:asciiTheme="majorEastAsia" w:hAnsiTheme="majorEastAsia" w:eastAsiaTheme="majorEastAsia" w:cstheme="majorEastAsia"/>
                <w:color w:val="000000"/>
                <w:sz w:val="20"/>
                <w:szCs w:val="20"/>
                <w:highlight w:val="none"/>
                <w:lang w:val="en-US" w:eastAsia="zh-CN"/>
              </w:rPr>
              <w:t>5</w:t>
            </w:r>
            <w:r>
              <w:rPr>
                <w:rFonts w:hint="eastAsia" w:asciiTheme="majorEastAsia" w:hAnsiTheme="majorEastAsia" w:eastAsiaTheme="majorEastAsia" w:cstheme="majorEastAsia"/>
                <w:color w:val="000000"/>
                <w:sz w:val="20"/>
                <w:szCs w:val="20"/>
                <w:highlight w:val="none"/>
              </w:rPr>
              <w:t>×（最低报价÷投标报价）</w:t>
            </w:r>
          </w:p>
        </w:tc>
      </w:tr>
    </w:tbl>
    <w:p>
      <w:pPr>
        <w:widowControl/>
        <w:spacing w:line="360" w:lineRule="auto"/>
        <w:jc w:val="left"/>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三、投标人有以下情形之一的，其投标作废标处理</w:t>
      </w:r>
    </w:p>
    <w:p>
      <w:pPr>
        <w:spacing w:line="360" w:lineRule="auto"/>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1、串通投标或弄虚作假或有其他违法行为的；</w:t>
      </w:r>
    </w:p>
    <w:p>
      <w:pPr>
        <w:spacing w:line="360" w:lineRule="auto"/>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2、不按评标委员会要求澄清、说明或补正的；</w:t>
      </w:r>
    </w:p>
    <w:p>
      <w:pPr>
        <w:spacing w:line="360" w:lineRule="auto"/>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3</w:t>
      </w:r>
      <w:r>
        <w:rPr>
          <w:rFonts w:hint="eastAsia" w:asciiTheme="majorEastAsia" w:hAnsiTheme="majorEastAsia" w:eastAsiaTheme="majorEastAsia" w:cstheme="majorEastAsia"/>
          <w:kern w:val="0"/>
          <w:sz w:val="24"/>
          <w:szCs w:val="24"/>
          <w:highlight w:val="none"/>
        </w:rPr>
        <w:t>、投标公司不符合相应要求资质；</w:t>
      </w:r>
    </w:p>
    <w:p>
      <w:pPr>
        <w:spacing w:line="360" w:lineRule="auto"/>
        <w:ind w:firstLine="480" w:firstLineChars="200"/>
        <w:rPr>
          <w:rFonts w:hint="eastAsia" w:asciiTheme="majorEastAsia" w:hAnsiTheme="majorEastAsia" w:eastAsiaTheme="majorEastAsia" w:cstheme="majorEastAsia"/>
          <w:kern w:val="0"/>
          <w:sz w:val="24"/>
          <w:szCs w:val="24"/>
          <w:highlight w:val="none"/>
        </w:rPr>
        <w:sectPr>
          <w:pgSz w:w="11906" w:h="16838"/>
          <w:pgMar w:top="1440" w:right="1274" w:bottom="1440" w:left="1440" w:header="851" w:footer="992" w:gutter="0"/>
          <w:pgNumType w:fmt="numberInDash"/>
          <w:cols w:space="720" w:num="1"/>
          <w:titlePg/>
          <w:docGrid w:type="lines" w:linePitch="312" w:charSpace="0"/>
        </w:sectPr>
      </w:pPr>
      <w:r>
        <w:rPr>
          <w:rFonts w:hint="eastAsia" w:asciiTheme="majorEastAsia" w:hAnsiTheme="majorEastAsia" w:eastAsiaTheme="majorEastAsia" w:cstheme="majorEastAsia"/>
          <w:kern w:val="0"/>
          <w:sz w:val="24"/>
          <w:szCs w:val="24"/>
          <w:highlight w:val="none"/>
          <w:lang w:val="en-US" w:eastAsia="zh-CN"/>
        </w:rPr>
        <w:t>4</w:t>
      </w:r>
      <w:r>
        <w:rPr>
          <w:rFonts w:hint="eastAsia" w:asciiTheme="majorEastAsia" w:hAnsiTheme="majorEastAsia" w:eastAsiaTheme="majorEastAsia" w:cstheme="majorEastAsia"/>
          <w:kern w:val="0"/>
          <w:sz w:val="24"/>
          <w:szCs w:val="24"/>
          <w:highlight w:val="none"/>
        </w:rPr>
        <w:t>、本标书约定的其它废标情形。</w:t>
      </w:r>
    </w:p>
    <w:p>
      <w:pPr>
        <w:pageBreakBefore/>
        <w:spacing w:before="156" w:beforeLines="50" w:after="156" w:afterLines="50" w:line="360" w:lineRule="auto"/>
        <w:jc w:val="center"/>
        <w:outlineLvl w:val="0"/>
        <w:rPr>
          <w:rFonts w:ascii="Times New Roman" w:hAnsi="Times New Roman" w:eastAsia="宋体" w:cs="Times New Roman"/>
          <w:b/>
          <w:bCs/>
          <w:sz w:val="44"/>
          <w:szCs w:val="44"/>
          <w:highlight w:val="none"/>
        </w:rPr>
      </w:pPr>
      <w:r>
        <w:rPr>
          <w:rFonts w:ascii="Times New Roman" w:hAnsi="宋体" w:eastAsia="宋体" w:cs="Times New Roman"/>
          <w:b/>
          <w:bCs/>
          <w:sz w:val="44"/>
          <w:szCs w:val="44"/>
          <w:highlight w:val="none"/>
        </w:rPr>
        <w:t>第</w:t>
      </w:r>
      <w:r>
        <w:rPr>
          <w:rFonts w:hint="eastAsia" w:ascii="Times New Roman" w:hAnsi="宋体" w:eastAsia="宋体" w:cs="Times New Roman"/>
          <w:b/>
          <w:bCs/>
          <w:sz w:val="44"/>
          <w:szCs w:val="44"/>
          <w:highlight w:val="none"/>
        </w:rPr>
        <w:t>三</w:t>
      </w:r>
      <w:r>
        <w:rPr>
          <w:rFonts w:ascii="Times New Roman" w:hAnsi="宋体" w:eastAsia="宋体" w:cs="Times New Roman"/>
          <w:b/>
          <w:bCs/>
          <w:sz w:val="44"/>
          <w:szCs w:val="44"/>
          <w:highlight w:val="none"/>
        </w:rPr>
        <w:t>部分</w:t>
      </w:r>
      <w:r>
        <w:rPr>
          <w:rFonts w:hint="eastAsia" w:ascii="Times New Roman" w:hAnsi="宋体" w:eastAsia="宋体" w:cs="Times New Roman"/>
          <w:b/>
          <w:bCs/>
          <w:sz w:val="44"/>
          <w:szCs w:val="44"/>
          <w:highlight w:val="none"/>
        </w:rPr>
        <w:t>：</w:t>
      </w:r>
      <w:r>
        <w:rPr>
          <w:rFonts w:ascii="Times New Roman" w:hAnsi="宋体" w:eastAsia="宋体" w:cs="Times New Roman"/>
          <w:b/>
          <w:bCs/>
          <w:sz w:val="44"/>
          <w:szCs w:val="44"/>
          <w:highlight w:val="none"/>
        </w:rPr>
        <w:t>招标</w:t>
      </w:r>
      <w:r>
        <w:rPr>
          <w:rFonts w:hint="eastAsia" w:ascii="Times New Roman" w:hAnsi="宋体" w:eastAsia="宋体" w:cs="Times New Roman"/>
          <w:b/>
          <w:bCs/>
          <w:sz w:val="44"/>
          <w:szCs w:val="44"/>
          <w:highlight w:val="none"/>
        </w:rPr>
        <w:t>内容及</w:t>
      </w:r>
      <w:r>
        <w:rPr>
          <w:rFonts w:ascii="Times New Roman" w:hAnsi="宋体" w:eastAsia="宋体" w:cs="Times New Roman"/>
          <w:b/>
          <w:bCs/>
          <w:sz w:val="44"/>
          <w:szCs w:val="44"/>
          <w:highlight w:val="none"/>
        </w:rPr>
        <w:t>要求</w:t>
      </w:r>
      <w:bookmarkEnd w:id="6"/>
    </w:p>
    <w:p>
      <w:pPr>
        <w:tabs>
          <w:tab w:val="left" w:pos="2975"/>
          <w:tab w:val="left" w:pos="3400"/>
          <w:tab w:val="left" w:pos="3825"/>
          <w:tab w:val="left" w:pos="4250"/>
          <w:tab w:val="left" w:pos="6195"/>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32"/>
          <w:highlight w:val="none"/>
        </w:rPr>
        <w:t>一、</w:t>
      </w:r>
      <w:r>
        <w:rPr>
          <w:rFonts w:hint="eastAsia" w:ascii="宋体" w:hAnsi="宋体" w:eastAsia="宋体" w:cs="Times New Roman"/>
          <w:sz w:val="24"/>
          <w:szCs w:val="32"/>
          <w:highlight w:val="none"/>
          <w:lang w:val="en-US" w:eastAsia="zh-CN"/>
        </w:rPr>
        <w:t>招标内容：</w:t>
      </w:r>
      <w:r>
        <w:rPr>
          <w:rFonts w:hint="eastAsia" w:ascii="宋体" w:hAnsi="宋体" w:eastAsia="宋体" w:cs="Times New Roman"/>
          <w:sz w:val="24"/>
          <w:szCs w:val="24"/>
          <w:highlight w:val="none"/>
        </w:rPr>
        <w:t>聘请第三方对到场的</w:t>
      </w:r>
      <w:r>
        <w:rPr>
          <w:rFonts w:hint="eastAsia" w:ascii="宋体" w:hAnsi="宋体" w:eastAsia="宋体" w:cs="Times New Roman"/>
          <w:sz w:val="24"/>
          <w:szCs w:val="24"/>
          <w:highlight w:val="none"/>
          <w:lang w:val="en-US" w:eastAsia="zh-CN"/>
        </w:rPr>
        <w:t>饲草料</w:t>
      </w:r>
      <w:r>
        <w:rPr>
          <w:rFonts w:hint="eastAsia" w:ascii="宋体" w:hAnsi="宋体" w:eastAsia="宋体" w:cs="Times New Roman"/>
          <w:sz w:val="24"/>
          <w:szCs w:val="24"/>
          <w:highlight w:val="none"/>
        </w:rPr>
        <w:t>进行装卸</w:t>
      </w:r>
      <w:r>
        <w:rPr>
          <w:rFonts w:hint="eastAsia" w:ascii="宋体" w:hAnsi="宋体" w:eastAsia="宋体" w:cs="Times New Roman"/>
          <w:sz w:val="24"/>
          <w:szCs w:val="24"/>
          <w:highlight w:val="none"/>
          <w:lang w:val="en-US" w:eastAsia="zh-CN"/>
        </w:rPr>
        <w:t>转运上料仓、预混料</w:t>
      </w:r>
      <w:r>
        <w:rPr>
          <w:rFonts w:hint="eastAsia" w:ascii="宋体" w:hAnsi="宋体" w:eastAsia="宋体" w:cs="Times New Roman"/>
          <w:sz w:val="24"/>
          <w:szCs w:val="24"/>
          <w:highlight w:val="none"/>
        </w:rPr>
        <w:t>制作</w:t>
      </w:r>
      <w:r>
        <w:rPr>
          <w:rFonts w:hint="eastAsia" w:ascii="宋体" w:hAnsi="宋体" w:eastAsia="宋体" w:cs="Times New Roman"/>
          <w:sz w:val="24"/>
          <w:szCs w:val="24"/>
          <w:highlight w:val="none"/>
          <w:lang w:val="en-US" w:eastAsia="zh-CN"/>
        </w:rPr>
        <w:t>转运上料仓，</w:t>
      </w:r>
      <w:r>
        <w:rPr>
          <w:rFonts w:hint="eastAsia" w:ascii="宋体" w:hAnsi="宋体" w:eastAsia="宋体" w:cs="Times New Roman"/>
          <w:sz w:val="24"/>
          <w:szCs w:val="24"/>
          <w:highlight w:val="none"/>
        </w:rPr>
        <w:t>主要包括以下内容：</w:t>
      </w:r>
    </w:p>
    <w:tbl>
      <w:tblPr>
        <w:tblStyle w:val="24"/>
        <w:tblW w:w="107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1143"/>
        <w:gridCol w:w="2111"/>
        <w:gridCol w:w="704"/>
        <w:gridCol w:w="865"/>
        <w:gridCol w:w="4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1061" w:type="dxa"/>
            <w:tcBorders>
              <w:top w:val="single" w:color="auto" w:sz="4" w:space="0"/>
              <w:left w:val="single" w:color="auto" w:sz="4" w:space="0"/>
              <w:bottom w:val="single" w:color="auto" w:sz="4" w:space="0"/>
              <w:right w:val="single" w:color="auto" w:sz="4" w:space="0"/>
            </w:tcBorders>
            <w:vAlign w:val="center"/>
          </w:tcPr>
          <w:p>
            <w:pPr>
              <w:pStyle w:val="23"/>
              <w:spacing w:before="254" w:line="220" w:lineRule="auto"/>
              <w:jc w:val="center"/>
              <w:rPr>
                <w:rFonts w:hint="eastAsia"/>
                <w:highlight w:val="none"/>
              </w:rPr>
            </w:pPr>
            <w:r>
              <w:rPr>
                <w:spacing w:val="-6"/>
                <w:highlight w:val="none"/>
              </w:rPr>
              <w:t>项目</w:t>
            </w:r>
          </w:p>
        </w:tc>
        <w:tc>
          <w:tcPr>
            <w:tcW w:w="1143" w:type="dxa"/>
            <w:tcBorders>
              <w:top w:val="single" w:color="auto" w:sz="4" w:space="0"/>
              <w:left w:val="single" w:color="auto" w:sz="4" w:space="0"/>
              <w:bottom w:val="single" w:color="auto" w:sz="4" w:space="0"/>
              <w:right w:val="single" w:color="auto" w:sz="4" w:space="0"/>
            </w:tcBorders>
            <w:vAlign w:val="center"/>
          </w:tcPr>
          <w:p>
            <w:pPr>
              <w:pStyle w:val="23"/>
              <w:spacing w:before="254" w:line="219" w:lineRule="auto"/>
              <w:jc w:val="center"/>
              <w:rPr>
                <w:rFonts w:hint="eastAsia"/>
                <w:highlight w:val="none"/>
              </w:rPr>
            </w:pPr>
            <w:r>
              <w:rPr>
                <w:spacing w:val="7"/>
                <w:highlight w:val="none"/>
              </w:rPr>
              <w:t>类型</w:t>
            </w:r>
          </w:p>
        </w:tc>
        <w:tc>
          <w:tcPr>
            <w:tcW w:w="2111" w:type="dxa"/>
            <w:tcBorders>
              <w:top w:val="single" w:color="auto" w:sz="4" w:space="0"/>
              <w:left w:val="single" w:color="auto" w:sz="4" w:space="0"/>
              <w:bottom w:val="single" w:color="auto" w:sz="4" w:space="0"/>
              <w:right w:val="single" w:color="auto" w:sz="4" w:space="0"/>
            </w:tcBorders>
            <w:vAlign w:val="center"/>
          </w:tcPr>
          <w:p>
            <w:pPr>
              <w:pStyle w:val="23"/>
              <w:spacing w:before="254" w:line="219" w:lineRule="auto"/>
              <w:jc w:val="center"/>
              <w:rPr>
                <w:rFonts w:hint="eastAsia"/>
                <w:highlight w:val="none"/>
              </w:rPr>
            </w:pPr>
            <w:r>
              <w:rPr>
                <w:spacing w:val="9"/>
                <w:highlight w:val="none"/>
              </w:rPr>
              <w:t>类别</w:t>
            </w:r>
          </w:p>
        </w:tc>
        <w:tc>
          <w:tcPr>
            <w:tcW w:w="704" w:type="dxa"/>
            <w:tcBorders>
              <w:top w:val="single" w:color="auto" w:sz="4" w:space="0"/>
              <w:left w:val="single" w:color="auto" w:sz="4" w:space="0"/>
              <w:bottom w:val="single" w:color="auto" w:sz="4" w:space="0"/>
              <w:right w:val="single" w:color="auto" w:sz="4" w:space="0"/>
            </w:tcBorders>
            <w:vAlign w:val="center"/>
          </w:tcPr>
          <w:p>
            <w:pPr>
              <w:pStyle w:val="23"/>
              <w:spacing w:before="254" w:line="220" w:lineRule="auto"/>
              <w:jc w:val="center"/>
              <w:rPr>
                <w:rFonts w:hint="eastAsia"/>
                <w:highlight w:val="none"/>
              </w:rPr>
            </w:pPr>
            <w:r>
              <w:rPr>
                <w:spacing w:val="-3"/>
                <w:highlight w:val="none"/>
              </w:rPr>
              <w:t>单位</w:t>
            </w:r>
          </w:p>
        </w:tc>
        <w:tc>
          <w:tcPr>
            <w:tcW w:w="865" w:type="dxa"/>
            <w:tcBorders>
              <w:top w:val="single" w:color="auto" w:sz="4" w:space="0"/>
              <w:left w:val="single" w:color="auto" w:sz="4" w:space="0"/>
              <w:bottom w:val="single" w:color="auto" w:sz="4" w:space="0"/>
              <w:right w:val="single" w:color="auto" w:sz="4" w:space="0"/>
            </w:tcBorders>
            <w:vAlign w:val="center"/>
          </w:tcPr>
          <w:p>
            <w:pPr>
              <w:pStyle w:val="23"/>
              <w:spacing w:before="254" w:line="219" w:lineRule="auto"/>
              <w:jc w:val="center"/>
              <w:rPr>
                <w:rFonts w:hint="default" w:eastAsia="宋体"/>
                <w:spacing w:val="-2"/>
                <w:highlight w:val="none"/>
                <w:lang w:val="en-US" w:eastAsia="zh-CN"/>
              </w:rPr>
            </w:pPr>
            <w:r>
              <w:rPr>
                <w:rFonts w:hint="eastAsia"/>
                <w:spacing w:val="-2"/>
                <w:highlight w:val="none"/>
                <w:lang w:val="en-US" w:eastAsia="zh-CN"/>
              </w:rPr>
              <w:t>年预计数量</w:t>
            </w:r>
          </w:p>
        </w:tc>
        <w:tc>
          <w:tcPr>
            <w:tcW w:w="4908" w:type="dxa"/>
            <w:tcBorders>
              <w:top w:val="single" w:color="auto" w:sz="4" w:space="0"/>
              <w:left w:val="single" w:color="auto" w:sz="4" w:space="0"/>
              <w:bottom w:val="single" w:color="auto" w:sz="4" w:space="0"/>
              <w:right w:val="single" w:color="auto" w:sz="4" w:space="0"/>
            </w:tcBorders>
            <w:vAlign w:val="center"/>
          </w:tcPr>
          <w:p>
            <w:pPr>
              <w:pStyle w:val="23"/>
              <w:spacing w:before="254" w:line="219" w:lineRule="auto"/>
              <w:ind w:left="1285"/>
              <w:jc w:val="center"/>
              <w:rPr>
                <w:rFonts w:hint="eastAsia"/>
                <w:highlight w:val="none"/>
              </w:rPr>
            </w:pPr>
            <w:r>
              <w:rPr>
                <w:spacing w:val="-2"/>
                <w:highlight w:val="none"/>
              </w:rPr>
              <w:t>服务标准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4" w:hRule="atLeast"/>
          <w:jc w:val="center"/>
        </w:trPr>
        <w:tc>
          <w:tcPr>
            <w:tcW w:w="1061" w:type="dxa"/>
            <w:vMerge w:val="restart"/>
            <w:tcBorders>
              <w:top w:val="single" w:color="auto" w:sz="4" w:space="0"/>
              <w:left w:val="single" w:color="auto" w:sz="4" w:space="0"/>
              <w:bottom w:val="single" w:color="auto" w:sz="4" w:space="0"/>
              <w:right w:val="single" w:color="auto" w:sz="4" w:space="0"/>
            </w:tcBorders>
          </w:tcPr>
          <w:p>
            <w:pPr>
              <w:spacing w:line="252" w:lineRule="auto"/>
              <w:rPr>
                <w:rFonts w:ascii="Arial"/>
                <w:highlight w:val="none"/>
              </w:rPr>
            </w:pPr>
          </w:p>
          <w:p>
            <w:pPr>
              <w:spacing w:line="253" w:lineRule="auto"/>
              <w:rPr>
                <w:rFonts w:ascii="Arial"/>
                <w:highlight w:val="none"/>
              </w:rPr>
            </w:pPr>
          </w:p>
          <w:p>
            <w:pPr>
              <w:spacing w:line="253" w:lineRule="auto"/>
              <w:rPr>
                <w:rFonts w:ascii="Arial"/>
                <w:highlight w:val="none"/>
              </w:rPr>
            </w:pPr>
          </w:p>
          <w:p>
            <w:pPr>
              <w:spacing w:line="253" w:lineRule="auto"/>
              <w:rPr>
                <w:rFonts w:ascii="Arial"/>
                <w:highlight w:val="none"/>
              </w:rPr>
            </w:pPr>
          </w:p>
          <w:p>
            <w:pPr>
              <w:pStyle w:val="23"/>
              <w:spacing w:before="71" w:line="220" w:lineRule="auto"/>
              <w:ind w:left="134"/>
              <w:rPr>
                <w:rFonts w:hint="eastAsia"/>
                <w:highlight w:val="none"/>
              </w:rPr>
            </w:pPr>
            <w:r>
              <w:rPr>
                <w:spacing w:val="3"/>
                <w:highlight w:val="none"/>
              </w:rPr>
              <w:t>装卸</w:t>
            </w:r>
            <w:r>
              <w:rPr>
                <w:rFonts w:hint="eastAsia"/>
                <w:spacing w:val="3"/>
                <w:highlight w:val="none"/>
                <w:lang w:val="en-US" w:eastAsia="zh-CN"/>
              </w:rPr>
              <w:t>及倒料</w:t>
            </w:r>
            <w:r>
              <w:rPr>
                <w:spacing w:val="3"/>
                <w:highlight w:val="none"/>
              </w:rPr>
              <w:t>工作</w:t>
            </w:r>
          </w:p>
        </w:tc>
        <w:tc>
          <w:tcPr>
            <w:tcW w:w="1143" w:type="dxa"/>
            <w:tcBorders>
              <w:top w:val="single" w:color="auto" w:sz="4" w:space="0"/>
              <w:left w:val="single" w:color="auto" w:sz="4" w:space="0"/>
              <w:bottom w:val="single" w:color="auto" w:sz="4" w:space="0"/>
              <w:right w:val="single" w:color="auto" w:sz="4" w:space="0"/>
            </w:tcBorders>
            <w:vAlign w:val="center"/>
          </w:tcPr>
          <w:p>
            <w:pPr>
              <w:pStyle w:val="23"/>
              <w:spacing w:before="71" w:line="220" w:lineRule="auto"/>
              <w:jc w:val="center"/>
              <w:rPr>
                <w:rFonts w:hint="eastAsia"/>
                <w:highlight w:val="none"/>
              </w:rPr>
            </w:pPr>
            <w:r>
              <w:rPr>
                <w:spacing w:val="-2"/>
                <w:highlight w:val="none"/>
              </w:rPr>
              <w:t>袋装料</w:t>
            </w:r>
          </w:p>
        </w:tc>
        <w:tc>
          <w:tcPr>
            <w:tcW w:w="2111"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default"/>
                <w:highlight w:val="none"/>
                <w:lang w:val="en-US" w:eastAsia="zh-CN"/>
              </w:rPr>
            </w:pPr>
            <w:r>
              <w:rPr>
                <w:spacing w:val="-1"/>
                <w:highlight w:val="none"/>
                <w:lang w:eastAsia="zh-CN"/>
              </w:rPr>
              <w:t>豆粕、</w:t>
            </w:r>
            <w:r>
              <w:rPr>
                <w:rFonts w:hint="eastAsia"/>
                <w:spacing w:val="-1"/>
                <w:highlight w:val="none"/>
                <w:lang w:val="en-US" w:eastAsia="zh-CN"/>
              </w:rPr>
              <w:t>菜粕、</w:t>
            </w:r>
            <w:r>
              <w:rPr>
                <w:rFonts w:hint="eastAsia"/>
                <w:spacing w:val="-1"/>
                <w:highlight w:val="none"/>
                <w:lang w:eastAsia="zh-CN"/>
              </w:rPr>
              <w:t>甜菜颗粒、</w:t>
            </w:r>
            <w:r>
              <w:rPr>
                <w:rFonts w:hint="eastAsia"/>
                <w:spacing w:val="-1"/>
                <w:highlight w:val="none"/>
                <w:lang w:val="en-US" w:eastAsia="zh-CN"/>
              </w:rPr>
              <w:t>膨化大豆、有机豆饼粉、玉米蛋白粉、</w:t>
            </w:r>
            <w:r>
              <w:rPr>
                <w:spacing w:val="-1"/>
                <w:highlight w:val="none"/>
                <w:lang w:eastAsia="zh-CN"/>
              </w:rPr>
              <w:t>预混料类</w:t>
            </w:r>
            <w:r>
              <w:rPr>
                <w:rFonts w:hint="eastAsia"/>
                <w:spacing w:val="-1"/>
                <w:highlight w:val="none"/>
                <w:lang w:eastAsia="zh-CN"/>
              </w:rPr>
              <w:t>、</w:t>
            </w:r>
            <w:r>
              <w:rPr>
                <w:spacing w:val="-1"/>
                <w:highlight w:val="none"/>
                <w:lang w:eastAsia="zh-CN"/>
              </w:rPr>
              <w:t>稻壳粉</w:t>
            </w:r>
            <w:r>
              <w:rPr>
                <w:spacing w:val="1"/>
                <w:highlight w:val="none"/>
                <w:lang w:eastAsia="zh-CN"/>
              </w:rPr>
              <w:t>等</w:t>
            </w:r>
            <w:r>
              <w:rPr>
                <w:rFonts w:hint="eastAsia"/>
                <w:spacing w:val="1"/>
                <w:highlight w:val="none"/>
                <w:lang w:val="en-US" w:eastAsia="zh-CN"/>
              </w:rPr>
              <w:t>袋装原料</w:t>
            </w:r>
          </w:p>
        </w:tc>
        <w:tc>
          <w:tcPr>
            <w:tcW w:w="704"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snapToGrid/>
              <w:spacing w:before="71" w:line="0" w:lineRule="atLeast"/>
              <w:jc w:val="center"/>
              <w:textAlignment w:val="auto"/>
              <w:rPr>
                <w:rFonts w:hint="eastAsia"/>
                <w:highlight w:val="none"/>
              </w:rPr>
            </w:pPr>
            <w:r>
              <w:rPr>
                <w:highlight w:val="none"/>
              </w:rPr>
              <w:t>吨</w:t>
            </w:r>
          </w:p>
        </w:tc>
        <w:tc>
          <w:tcPr>
            <w:tcW w:w="86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snapToGrid/>
              <w:spacing w:before="37" w:line="0" w:lineRule="atLeast"/>
              <w:ind w:right="92"/>
              <w:jc w:val="center"/>
              <w:textAlignment w:val="auto"/>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16300</w:t>
            </w:r>
          </w:p>
        </w:tc>
        <w:tc>
          <w:tcPr>
            <w:tcW w:w="4908" w:type="dxa"/>
            <w:vMerge w:val="restart"/>
            <w:tcBorders>
              <w:top w:val="single" w:color="auto" w:sz="4" w:space="0"/>
              <w:left w:val="single" w:color="auto" w:sz="4" w:space="0"/>
              <w:bottom w:val="single" w:color="auto" w:sz="4" w:space="0"/>
              <w:right w:val="single" w:color="auto" w:sz="4" w:space="0"/>
            </w:tcBorders>
          </w:tcPr>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eastAsia"/>
                <w:spacing w:val="-1"/>
                <w:highlight w:val="none"/>
                <w:lang w:val="en-US" w:eastAsia="zh-CN"/>
              </w:rPr>
            </w:pPr>
            <w:r>
              <w:rPr>
                <w:rFonts w:hint="eastAsia"/>
                <w:spacing w:val="-1"/>
                <w:highlight w:val="none"/>
                <w:lang w:val="en-US" w:eastAsia="zh-CN"/>
              </w:rPr>
              <w:t>1、饲料装卸按照库管要求整齐码垛并放置指定位置（日来货约102吨；其中袋装料要求进行堆码），袋装类的饲料卸货由人工进行；禁止使用破坏包装的方式卸货；按照要求分类分批次分状态堆放，堆码高度不超10层，柱距大于10cm，草库堆放距离墙大于1米；</w:t>
            </w:r>
          </w:p>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eastAsia"/>
                <w:spacing w:val="-1"/>
                <w:highlight w:val="none"/>
                <w:lang w:val="en-US" w:eastAsia="zh-CN"/>
              </w:rPr>
            </w:pPr>
            <w:r>
              <w:rPr>
                <w:rFonts w:hint="eastAsia"/>
                <w:spacing w:val="-1"/>
                <w:highlight w:val="none"/>
                <w:lang w:val="en-US" w:eastAsia="zh-CN"/>
              </w:rPr>
              <w:t>2、倒运物料时需要将物料从料库 倒运至料仓内（转运距离200米），日转运数量约102吨；</w:t>
            </w:r>
          </w:p>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eastAsia"/>
                <w:spacing w:val="-1"/>
                <w:highlight w:val="none"/>
                <w:lang w:val="en-US" w:eastAsia="zh-CN"/>
              </w:rPr>
            </w:pPr>
            <w:r>
              <w:rPr>
                <w:rFonts w:hint="eastAsia"/>
                <w:spacing w:val="-1"/>
                <w:highlight w:val="none"/>
                <w:lang w:val="en-US" w:eastAsia="zh-CN"/>
              </w:rPr>
              <w:t>3、预混料制作在小料车间，需按要求拆袋称量后，配制进仓；</w:t>
            </w:r>
          </w:p>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eastAsia"/>
                <w:spacing w:val="-1"/>
                <w:highlight w:val="none"/>
                <w:lang w:val="en-US" w:eastAsia="zh-CN"/>
              </w:rPr>
            </w:pPr>
            <w:r>
              <w:rPr>
                <w:rFonts w:hint="eastAsia"/>
                <w:spacing w:val="-1"/>
                <w:highlight w:val="none"/>
                <w:lang w:val="en-US" w:eastAsia="zh-CN"/>
              </w:rPr>
              <w:t>4、及时清理散落的饲料，保持现场卫生整洁；</w:t>
            </w:r>
          </w:p>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eastAsia"/>
                <w:spacing w:val="-1"/>
                <w:highlight w:val="none"/>
                <w:lang w:val="en-US" w:eastAsia="zh-CN"/>
              </w:rPr>
            </w:pPr>
            <w:r>
              <w:rPr>
                <w:rFonts w:hint="eastAsia"/>
                <w:spacing w:val="-1"/>
                <w:highlight w:val="none"/>
                <w:lang w:val="en-US" w:eastAsia="zh-CN"/>
              </w:rPr>
              <w:t>5、根据实际需求对物料进行遮盖；</w:t>
            </w:r>
          </w:p>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eastAsia"/>
                <w:spacing w:val="-1"/>
                <w:highlight w:val="none"/>
                <w:lang w:val="en-US" w:eastAsia="zh-CN"/>
              </w:rPr>
            </w:pPr>
            <w:r>
              <w:rPr>
                <w:rFonts w:hint="eastAsia"/>
                <w:spacing w:val="-1"/>
                <w:highlight w:val="none"/>
                <w:lang w:val="en-US" w:eastAsia="zh-CN"/>
              </w:rPr>
              <w:t>6、特种车辆驾驶人员需要持证上岗 ；</w:t>
            </w:r>
          </w:p>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eastAsia"/>
                <w:spacing w:val="-1"/>
                <w:highlight w:val="none"/>
                <w:lang w:val="en-US" w:eastAsia="zh-CN"/>
              </w:rPr>
            </w:pPr>
            <w:r>
              <w:rPr>
                <w:rFonts w:hint="eastAsia"/>
                <w:spacing w:val="-1"/>
                <w:highlight w:val="none"/>
                <w:lang w:val="en-US" w:eastAsia="zh-CN"/>
              </w:rPr>
              <w:t>7、牧场提供部分车辆（可正常使用），包括50装机1台、叉车一台、金刚车一台，其余车辆及工具由承包方自行组织；</w:t>
            </w:r>
          </w:p>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eastAsia" w:asciiTheme="minorEastAsia" w:hAnsiTheme="minorEastAsia" w:eastAsiaTheme="minorEastAsia" w:cstheme="minorEastAsia"/>
                <w:highlight w:val="none"/>
                <w:lang w:val="en-US" w:eastAsia="zh-CN"/>
              </w:rPr>
            </w:pPr>
            <w:r>
              <w:rPr>
                <w:rFonts w:hint="eastAsia"/>
                <w:spacing w:val="-1"/>
                <w:highlight w:val="none"/>
                <w:lang w:val="en-US" w:eastAsia="zh-CN"/>
              </w:rPr>
              <w:t>8、所有设备使用的燃油、维修费用、保养费用、人员保险、食宿、劳保用品、税费等均由承包方负责，牧场提供的车辆保养频次需按牧场设备保养计划执行（装载机、叉车、金刚车每月更换机油、机滤、柴滤；预计费用17000元，液压油及液力传动油预计费用6000元），合同期满后承包方对设备进行检修保养，确保车辆正常使用后交付牧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1061" w:type="dxa"/>
            <w:vMerge w:val="continue"/>
            <w:tcBorders>
              <w:top w:val="single" w:color="auto" w:sz="4" w:space="0"/>
              <w:left w:val="single" w:color="auto" w:sz="4" w:space="0"/>
              <w:bottom w:val="single" w:color="auto" w:sz="4" w:space="0"/>
              <w:right w:val="single" w:color="auto" w:sz="4" w:space="0"/>
            </w:tcBorders>
          </w:tcPr>
          <w:p>
            <w:pPr>
              <w:rPr>
                <w:rFonts w:ascii="Arial"/>
                <w:highlight w:val="none"/>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before="72" w:line="219" w:lineRule="auto"/>
              <w:jc w:val="center"/>
              <w:rPr>
                <w:rFonts w:hint="eastAsia" w:ascii="宋体" w:hAnsi="宋体" w:eastAsia="宋体" w:cs="宋体"/>
                <w:kern w:val="2"/>
                <w:sz w:val="22"/>
                <w:szCs w:val="22"/>
                <w:highlight w:val="none"/>
                <w:lang w:val="en-US" w:eastAsia="en-US" w:bidi="ar-SA"/>
              </w:rPr>
            </w:pPr>
            <w:r>
              <w:rPr>
                <w:spacing w:val="-2"/>
                <w:highlight w:val="none"/>
              </w:rPr>
              <w:t>散装料</w:t>
            </w:r>
          </w:p>
        </w:tc>
        <w:tc>
          <w:tcPr>
            <w:tcW w:w="21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default" w:ascii="宋体" w:hAnsi="宋体" w:eastAsia="宋体" w:cs="宋体"/>
                <w:spacing w:val="-1"/>
                <w:highlight w:val="none"/>
                <w:lang w:val="en-US" w:eastAsia="zh-CN"/>
              </w:rPr>
            </w:pPr>
            <w:r>
              <w:rPr>
                <w:rFonts w:hint="eastAsia" w:ascii="宋体" w:hAnsi="宋体" w:eastAsia="宋体" w:cs="宋体"/>
                <w:spacing w:val="-1"/>
                <w:highlight w:val="none"/>
                <w:lang w:eastAsia="zh-CN"/>
              </w:rPr>
              <w:t>玉米、压片玉米、稻糠、稻壳等</w:t>
            </w:r>
            <w:r>
              <w:rPr>
                <w:rFonts w:hint="eastAsia" w:ascii="宋体" w:hAnsi="宋体" w:eastAsia="宋体" w:cs="宋体"/>
                <w:spacing w:val="-1"/>
                <w:highlight w:val="none"/>
                <w:lang w:val="en-US" w:eastAsia="zh-CN"/>
              </w:rPr>
              <w:t>散装原料</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before="71" w:line="229" w:lineRule="auto"/>
              <w:jc w:val="center"/>
              <w:rPr>
                <w:rFonts w:hint="eastAsia" w:ascii="宋体" w:hAnsi="宋体" w:eastAsia="宋体" w:cs="宋体"/>
                <w:kern w:val="2"/>
                <w:sz w:val="22"/>
                <w:szCs w:val="22"/>
                <w:highlight w:val="none"/>
                <w:lang w:val="en-US" w:eastAsia="en-US" w:bidi="ar-SA"/>
              </w:rPr>
            </w:pPr>
            <w:r>
              <w:rPr>
                <w:highlight w:val="none"/>
              </w:rPr>
              <w:t>吨</w:t>
            </w:r>
          </w:p>
        </w:tc>
        <w:tc>
          <w:tcPr>
            <w:tcW w:w="8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highlight w:val="none"/>
                <w:lang w:val="en-US" w:eastAsia="zh-CN"/>
              </w:rPr>
              <w:t>20000</w:t>
            </w:r>
          </w:p>
        </w:tc>
        <w:tc>
          <w:tcPr>
            <w:tcW w:w="4908" w:type="dxa"/>
            <w:vMerge w:val="continue"/>
            <w:tcBorders>
              <w:top w:val="single" w:color="auto" w:sz="4" w:space="0"/>
              <w:left w:val="single" w:color="auto" w:sz="4" w:space="0"/>
              <w:bottom w:val="single" w:color="auto" w:sz="4" w:space="0"/>
              <w:right w:val="single" w:color="auto" w:sz="4" w:space="0"/>
            </w:tcBorders>
          </w:tcPr>
          <w:p>
            <w:pPr>
              <w:rPr>
                <w:rFonts w:ascii="Arial"/>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4" w:hRule="atLeast"/>
          <w:jc w:val="center"/>
        </w:trPr>
        <w:tc>
          <w:tcPr>
            <w:tcW w:w="1061" w:type="dxa"/>
            <w:vMerge w:val="continue"/>
            <w:tcBorders>
              <w:top w:val="single" w:color="auto" w:sz="4" w:space="0"/>
              <w:left w:val="single" w:color="auto" w:sz="4" w:space="0"/>
              <w:bottom w:val="single" w:color="auto" w:sz="4" w:space="0"/>
              <w:right w:val="single" w:color="auto" w:sz="4" w:space="0"/>
            </w:tcBorders>
          </w:tcPr>
          <w:p>
            <w:pPr>
              <w:rPr>
                <w:rFonts w:ascii="Arial"/>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pPr>
              <w:pStyle w:val="23"/>
              <w:spacing w:before="72" w:line="219" w:lineRule="auto"/>
              <w:jc w:val="center"/>
              <w:rPr>
                <w:rFonts w:hint="default" w:eastAsia="宋体"/>
                <w:highlight w:val="none"/>
                <w:lang w:val="en-US" w:eastAsia="zh-CN"/>
              </w:rPr>
            </w:pPr>
            <w:r>
              <w:rPr>
                <w:rFonts w:hint="eastAsia"/>
                <w:spacing w:val="-2"/>
                <w:highlight w:val="none"/>
                <w:lang w:val="en-US" w:eastAsia="zh-CN"/>
              </w:rPr>
              <w:t>吨包料</w:t>
            </w:r>
          </w:p>
        </w:tc>
        <w:tc>
          <w:tcPr>
            <w:tcW w:w="2111"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default" w:ascii="宋体" w:hAnsi="宋体" w:eastAsia="宋体" w:cs="宋体"/>
                <w:spacing w:val="-1"/>
                <w:highlight w:val="none"/>
                <w:lang w:val="en-US" w:eastAsia="zh-CN"/>
              </w:rPr>
            </w:pPr>
            <w:r>
              <w:rPr>
                <w:rFonts w:hint="eastAsia" w:ascii="宋体" w:hAnsi="宋体" w:eastAsia="宋体" w:cs="宋体"/>
                <w:spacing w:val="-1"/>
                <w:highlight w:val="none"/>
                <w:lang w:eastAsia="zh-CN"/>
              </w:rPr>
              <w:t>甜菜颗粒、</w:t>
            </w:r>
            <w:r>
              <w:rPr>
                <w:rFonts w:hint="eastAsia" w:ascii="宋体" w:hAnsi="宋体" w:eastAsia="宋体" w:cs="宋体"/>
                <w:spacing w:val="-1"/>
                <w:highlight w:val="none"/>
                <w:lang w:val="en-US" w:eastAsia="zh-CN"/>
              </w:rPr>
              <w:t>半干啤酒糟、</w:t>
            </w:r>
            <w:r>
              <w:rPr>
                <w:rFonts w:hint="eastAsia" w:ascii="宋体" w:hAnsi="宋体" w:eastAsia="宋体" w:cs="宋体"/>
                <w:spacing w:val="-1"/>
                <w:highlight w:val="none"/>
                <w:lang w:eastAsia="zh-CN"/>
              </w:rPr>
              <w:t>预混料类等</w:t>
            </w:r>
            <w:r>
              <w:rPr>
                <w:rFonts w:hint="eastAsia" w:ascii="宋体" w:hAnsi="宋体" w:eastAsia="宋体" w:cs="宋体"/>
                <w:spacing w:val="-1"/>
                <w:highlight w:val="none"/>
                <w:lang w:val="en-US" w:eastAsia="zh-CN"/>
              </w:rPr>
              <w:t>大白包装原料</w:t>
            </w:r>
          </w:p>
        </w:tc>
        <w:tc>
          <w:tcPr>
            <w:tcW w:w="704" w:type="dxa"/>
            <w:tcBorders>
              <w:top w:val="single" w:color="auto" w:sz="4" w:space="0"/>
              <w:left w:val="single" w:color="auto" w:sz="4" w:space="0"/>
              <w:bottom w:val="single" w:color="auto" w:sz="4" w:space="0"/>
              <w:right w:val="single" w:color="auto" w:sz="4" w:space="0"/>
            </w:tcBorders>
            <w:vAlign w:val="center"/>
          </w:tcPr>
          <w:p>
            <w:pPr>
              <w:pStyle w:val="23"/>
              <w:spacing w:before="71" w:line="229" w:lineRule="auto"/>
              <w:jc w:val="center"/>
              <w:rPr>
                <w:rFonts w:hint="eastAsia"/>
                <w:highlight w:val="none"/>
              </w:rPr>
            </w:pPr>
            <w:r>
              <w:rPr>
                <w:highlight w:val="none"/>
              </w:rPr>
              <w:t>吨</w:t>
            </w:r>
          </w:p>
        </w:tc>
        <w:tc>
          <w:tcPr>
            <w:tcW w:w="8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highlight w:val="none"/>
                <w:lang w:val="en-US" w:eastAsia="zh-CN"/>
              </w:rPr>
              <w:t>1000</w:t>
            </w:r>
          </w:p>
        </w:tc>
        <w:tc>
          <w:tcPr>
            <w:tcW w:w="4908" w:type="dxa"/>
            <w:vMerge w:val="continue"/>
            <w:tcBorders>
              <w:top w:val="single" w:color="auto" w:sz="4" w:space="0"/>
              <w:left w:val="single" w:color="auto" w:sz="4" w:space="0"/>
              <w:bottom w:val="single" w:color="auto" w:sz="4" w:space="0"/>
              <w:right w:val="single" w:color="auto" w:sz="4" w:space="0"/>
            </w:tcBorders>
          </w:tcPr>
          <w:p>
            <w:pPr>
              <w:rPr>
                <w:rFonts w:ascii="Arial"/>
                <w:highlight w:val="none"/>
              </w:rPr>
            </w:pPr>
          </w:p>
        </w:tc>
      </w:tr>
    </w:tbl>
    <w:p>
      <w:pPr>
        <w:tabs>
          <w:tab w:val="left" w:pos="2975"/>
          <w:tab w:val="left" w:pos="3400"/>
          <w:tab w:val="left" w:pos="3825"/>
          <w:tab w:val="left" w:pos="4250"/>
          <w:tab w:val="left" w:pos="6195"/>
        </w:tabs>
        <w:spacing w:line="500" w:lineRule="exact"/>
        <w:rPr>
          <w:rFonts w:hint="eastAsia" w:ascii="宋体" w:hAnsi="宋体" w:eastAsia="宋体" w:cs="Times New Roman"/>
          <w:sz w:val="24"/>
          <w:szCs w:val="32"/>
          <w:highlight w:val="none"/>
        </w:rPr>
      </w:pPr>
      <w:r>
        <w:rPr>
          <w:rFonts w:hint="eastAsia" w:ascii="宋体" w:hAnsi="宋体" w:eastAsia="宋体" w:cs="Times New Roman"/>
          <w:sz w:val="24"/>
          <w:szCs w:val="32"/>
          <w:highlight w:val="none"/>
        </w:rPr>
        <w:t>二、对承包方的要求：</w:t>
      </w:r>
    </w:p>
    <w:p>
      <w:pPr>
        <w:pStyle w:val="7"/>
        <w:spacing w:before="158" w:line="360" w:lineRule="auto"/>
        <w:ind w:right="74" w:firstLine="53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1、承包方负责组织卸料及倒料队伍，负责员工的培训教育、安全生产管理、工资发放、劳动纪律管理和食宿管理等；</w:t>
      </w:r>
    </w:p>
    <w:p>
      <w:pPr>
        <w:pStyle w:val="7"/>
        <w:spacing w:before="158" w:line="360" w:lineRule="auto"/>
        <w:ind w:right="74" w:firstLine="53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w:t>
      </w:r>
      <w:r>
        <w:rPr>
          <w:rFonts w:hint="eastAsia" w:eastAsia="宋体"/>
          <w:spacing w:val="9"/>
          <w:sz w:val="24"/>
          <w:szCs w:val="24"/>
          <w:highlight w:val="none"/>
          <w:lang w:val="en-US" w:eastAsia="zh-CN"/>
        </w:rPr>
        <w:t>承包</w:t>
      </w:r>
      <w:r>
        <w:rPr>
          <w:spacing w:val="9"/>
          <w:sz w:val="24"/>
          <w:szCs w:val="24"/>
          <w:highlight w:val="none"/>
        </w:rPr>
        <w:t>方人员必须遵守甲方的场规场纪、日常规章及防疫制度，如所雇用人员出现安全及防疫事故，每出现一次</w:t>
      </w:r>
      <w:r>
        <w:rPr>
          <w:rFonts w:hint="eastAsia"/>
          <w:spacing w:val="9"/>
          <w:sz w:val="24"/>
          <w:szCs w:val="24"/>
          <w:highlight w:val="none"/>
          <w:lang w:val="en-US" w:eastAsia="zh-CN"/>
        </w:rPr>
        <w:t>承包</w:t>
      </w:r>
      <w:r>
        <w:rPr>
          <w:spacing w:val="9"/>
          <w:sz w:val="24"/>
          <w:szCs w:val="24"/>
          <w:highlight w:val="none"/>
        </w:rPr>
        <w:t>方应向</w:t>
      </w:r>
      <w:r>
        <w:rPr>
          <w:rFonts w:hint="eastAsia"/>
          <w:spacing w:val="9"/>
          <w:sz w:val="24"/>
          <w:szCs w:val="24"/>
          <w:highlight w:val="none"/>
          <w:lang w:val="en-US" w:eastAsia="zh-CN"/>
        </w:rPr>
        <w:t>牧场</w:t>
      </w:r>
      <w:r>
        <w:rPr>
          <w:spacing w:val="9"/>
          <w:sz w:val="24"/>
          <w:szCs w:val="24"/>
          <w:highlight w:val="none"/>
        </w:rPr>
        <w:t>承担违约金500元/次</w:t>
      </w:r>
      <w:r>
        <w:rPr>
          <w:spacing w:val="-4"/>
          <w:sz w:val="24"/>
          <w:szCs w:val="24"/>
          <w:highlight w:val="none"/>
        </w:rPr>
        <w:t>；</w:t>
      </w:r>
      <w:r>
        <w:rPr>
          <w:rFonts w:hint="eastAsia"/>
          <w:spacing w:val="12"/>
          <w:sz w:val="24"/>
          <w:szCs w:val="24"/>
          <w:highlight w:val="none"/>
          <w:lang w:val="en-US" w:eastAsia="zh-CN"/>
        </w:rPr>
        <w:t>承包</w:t>
      </w:r>
      <w:r>
        <w:rPr>
          <w:spacing w:val="12"/>
          <w:sz w:val="24"/>
          <w:szCs w:val="24"/>
          <w:highlight w:val="none"/>
        </w:rPr>
        <w:t>方员工严重违反甲方规章制度、岗位职责和劳动纪律的</w:t>
      </w:r>
      <w:r>
        <w:rPr>
          <w:rFonts w:hint="eastAsia"/>
          <w:spacing w:val="12"/>
          <w:sz w:val="24"/>
          <w:szCs w:val="24"/>
          <w:highlight w:val="none"/>
        </w:rPr>
        <w:t>，须按照</w:t>
      </w:r>
      <w:r>
        <w:rPr>
          <w:rFonts w:hint="eastAsia"/>
          <w:spacing w:val="12"/>
          <w:sz w:val="24"/>
          <w:szCs w:val="24"/>
          <w:highlight w:val="none"/>
          <w:lang w:val="en-US" w:eastAsia="zh-CN"/>
        </w:rPr>
        <w:t>牧场</w:t>
      </w:r>
      <w:r>
        <w:rPr>
          <w:rFonts w:hint="eastAsia"/>
          <w:spacing w:val="12"/>
          <w:sz w:val="24"/>
          <w:szCs w:val="24"/>
          <w:highlight w:val="none"/>
        </w:rPr>
        <w:t>要求清退并更换人员</w:t>
      </w:r>
      <w:r>
        <w:rPr>
          <w:spacing w:val="12"/>
          <w:sz w:val="24"/>
          <w:szCs w:val="24"/>
          <w:highlight w:val="none"/>
        </w:rPr>
        <w:t>；</w:t>
      </w:r>
    </w:p>
    <w:p>
      <w:pPr>
        <w:tabs>
          <w:tab w:val="left" w:pos="2975"/>
          <w:tab w:val="left" w:pos="3400"/>
          <w:tab w:val="left" w:pos="3825"/>
          <w:tab w:val="left" w:pos="4250"/>
          <w:tab w:val="left" w:pos="6195"/>
        </w:tabs>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3、爱护公物、货物及场区设施设备，文明工作，不得擅自动用机械设备或电器设施，不得野蛮卸料、私拉乱接和违规操作；</w:t>
      </w:r>
    </w:p>
    <w:p>
      <w:pPr>
        <w:tabs>
          <w:tab w:val="left" w:pos="2975"/>
          <w:tab w:val="left" w:pos="3400"/>
          <w:tab w:val="left" w:pos="3825"/>
          <w:tab w:val="left" w:pos="4250"/>
          <w:tab w:val="left" w:pos="6195"/>
        </w:tabs>
        <w:spacing w:line="500" w:lineRule="exact"/>
        <w:ind w:firstLine="480" w:firstLineChars="20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4、及时清扫工作现场及卸货过程中散漏的物资。如未按照</w:t>
      </w:r>
      <w:r>
        <w:rPr>
          <w:rFonts w:hint="eastAsia" w:ascii="宋体" w:hAnsi="宋体" w:eastAsia="宋体" w:cs="Times New Roman"/>
          <w:sz w:val="24"/>
          <w:szCs w:val="24"/>
          <w:highlight w:val="none"/>
          <w:lang w:val="en-US" w:eastAsia="zh-CN"/>
        </w:rPr>
        <w:t>牧场</w:t>
      </w:r>
      <w:r>
        <w:rPr>
          <w:rFonts w:hint="eastAsia" w:ascii="宋体" w:hAnsi="宋体" w:eastAsia="宋体" w:cs="Times New Roman"/>
          <w:sz w:val="24"/>
          <w:szCs w:val="24"/>
          <w:highlight w:val="none"/>
        </w:rPr>
        <w:t>要求，每次扣200元；根据天气变化，听从库管安排，及时遮盖和晾晒饲草料。如未按照牧场要求作业，每次扣200元</w:t>
      </w:r>
      <w:r>
        <w:rPr>
          <w:rFonts w:hint="eastAsia" w:ascii="宋体" w:hAnsi="宋体" w:eastAsia="宋体" w:cs="Times New Roman"/>
          <w:sz w:val="24"/>
          <w:szCs w:val="24"/>
          <w:highlight w:val="none"/>
          <w:lang w:eastAsia="zh-CN"/>
        </w:rPr>
        <w:t>；</w:t>
      </w:r>
    </w:p>
    <w:p>
      <w:pPr>
        <w:pStyle w:val="7"/>
        <w:spacing w:before="176" w:line="325" w:lineRule="auto"/>
        <w:ind w:right="81" w:firstLine="53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w:t>
      </w:r>
      <w:r>
        <w:rPr>
          <w:rFonts w:hint="eastAsia" w:eastAsia="宋体"/>
          <w:spacing w:val="9"/>
          <w:sz w:val="24"/>
          <w:szCs w:val="24"/>
          <w:highlight w:val="none"/>
          <w:lang w:val="en-US" w:eastAsia="zh-CN"/>
        </w:rPr>
        <w:t>承包</w:t>
      </w:r>
      <w:r>
        <w:rPr>
          <w:rFonts w:hint="eastAsia" w:ascii="宋体" w:hAnsi="宋体" w:eastAsia="宋体" w:cs="Times New Roman"/>
          <w:sz w:val="24"/>
          <w:szCs w:val="24"/>
          <w:highlight w:val="none"/>
        </w:rPr>
        <w:t>方车辆和人员进入生产区，不准携带烟火或易燃物品，不准在场内吸烟(车内发现烟头视为抽烟),不得酒后入场或酒后驾驶车辆，不得出现在场区内随地大小便等影响甲方形象的现象，如有违反，</w:t>
      </w:r>
      <w:r>
        <w:rPr>
          <w:rFonts w:hint="eastAsia" w:eastAsia="宋体"/>
          <w:spacing w:val="9"/>
          <w:sz w:val="24"/>
          <w:szCs w:val="24"/>
          <w:highlight w:val="none"/>
          <w:lang w:val="en-US" w:eastAsia="zh-CN"/>
        </w:rPr>
        <w:t>承包</w:t>
      </w:r>
      <w:r>
        <w:rPr>
          <w:rFonts w:hint="eastAsia" w:ascii="宋体" w:hAnsi="宋体" w:eastAsia="宋体" w:cs="Times New Roman"/>
          <w:sz w:val="24"/>
          <w:szCs w:val="24"/>
          <w:highlight w:val="none"/>
        </w:rPr>
        <w:t>方应向</w:t>
      </w:r>
      <w:r>
        <w:rPr>
          <w:rFonts w:hint="eastAsia" w:ascii="宋体" w:hAnsi="宋体" w:eastAsia="宋体" w:cs="Times New Roman"/>
          <w:sz w:val="24"/>
          <w:szCs w:val="24"/>
          <w:highlight w:val="none"/>
          <w:lang w:val="en-US" w:eastAsia="zh-CN"/>
        </w:rPr>
        <w:t>牧场</w:t>
      </w:r>
      <w:r>
        <w:rPr>
          <w:rFonts w:hint="eastAsia" w:ascii="宋体" w:hAnsi="宋体" w:eastAsia="宋体" w:cs="Times New Roman"/>
          <w:sz w:val="24"/>
          <w:szCs w:val="24"/>
          <w:highlight w:val="none"/>
        </w:rPr>
        <w:t>承担违约金200-500元/次，如发现2次以上现象，</w:t>
      </w:r>
      <w:r>
        <w:rPr>
          <w:rFonts w:hint="eastAsia" w:ascii="宋体" w:hAnsi="宋体" w:eastAsia="宋体" w:cs="Times New Roman"/>
          <w:sz w:val="24"/>
          <w:szCs w:val="24"/>
          <w:highlight w:val="none"/>
          <w:lang w:val="en-US" w:eastAsia="zh-CN"/>
        </w:rPr>
        <w:t>牧场</w:t>
      </w:r>
      <w:r>
        <w:rPr>
          <w:rFonts w:hint="eastAsia" w:ascii="宋体" w:hAnsi="宋体" w:eastAsia="宋体" w:cs="Times New Roman"/>
          <w:sz w:val="24"/>
          <w:szCs w:val="24"/>
          <w:highlight w:val="none"/>
        </w:rPr>
        <w:t>有权解除合同；</w:t>
      </w:r>
    </w:p>
    <w:p>
      <w:pPr>
        <w:tabs>
          <w:tab w:val="left" w:pos="2975"/>
          <w:tab w:val="left" w:pos="3400"/>
          <w:tab w:val="left" w:pos="3825"/>
          <w:tab w:val="left" w:pos="4250"/>
          <w:tab w:val="left" w:pos="6195"/>
        </w:tabs>
        <w:spacing w:line="360" w:lineRule="auto"/>
        <w:ind w:firstLine="516" w:firstLineChars="200"/>
        <w:rPr>
          <w:rFonts w:hint="eastAsia" w:eastAsia="宋体" w:asciiTheme="minorHAnsi" w:hAnsiTheme="minorHAnsi" w:cstheme="minorBidi"/>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6、</w:t>
      </w:r>
      <w:r>
        <w:rPr>
          <w:rFonts w:hint="eastAsia" w:eastAsia="宋体" w:asciiTheme="minorHAnsi" w:hAnsiTheme="minorHAnsi" w:cstheme="minorBidi"/>
          <w:spacing w:val="9"/>
          <w:kern w:val="2"/>
          <w:sz w:val="24"/>
          <w:szCs w:val="24"/>
          <w:highlight w:val="none"/>
          <w:lang w:val="en-US" w:eastAsia="zh-CN" w:bidi="ar-SA"/>
        </w:rPr>
        <w:t>承包方有义务对司机进行安全教育；人员在工作期间或上下班途中所发生的一切安全事故均由承包方自行承担，牧场概不承担任何责任；如因承包方司机违反交通规则造成牧场损失，造成的一切损失均由承包方负责；</w:t>
      </w:r>
    </w:p>
    <w:p>
      <w:pPr>
        <w:tabs>
          <w:tab w:val="left" w:pos="2975"/>
          <w:tab w:val="left" w:pos="3400"/>
          <w:tab w:val="left" w:pos="3825"/>
          <w:tab w:val="left" w:pos="4250"/>
          <w:tab w:val="left" w:pos="6195"/>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7、人员不得携带非本人物品出场，并自觉接受牧场保安人员检查；</w:t>
      </w:r>
    </w:p>
    <w:p>
      <w:pPr>
        <w:tabs>
          <w:tab w:val="left" w:pos="2975"/>
          <w:tab w:val="left" w:pos="3400"/>
          <w:tab w:val="left" w:pos="3825"/>
          <w:tab w:val="left" w:pos="4250"/>
          <w:tab w:val="left" w:pos="6195"/>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8、</w:t>
      </w:r>
      <w:r>
        <w:rPr>
          <w:rFonts w:hint="eastAsia" w:eastAsia="宋体"/>
          <w:spacing w:val="9"/>
          <w:sz w:val="24"/>
          <w:szCs w:val="24"/>
          <w:highlight w:val="none"/>
          <w:lang w:val="en-US" w:eastAsia="zh-CN"/>
        </w:rPr>
        <w:t>承包</w:t>
      </w:r>
      <w:r>
        <w:rPr>
          <w:spacing w:val="9"/>
          <w:sz w:val="24"/>
          <w:szCs w:val="24"/>
          <w:highlight w:val="none"/>
        </w:rPr>
        <w:t>方必须按照甲方要求的时间进行卸料，不得找借口或理由不到场；</w:t>
      </w:r>
      <w:r>
        <w:rPr>
          <w:rFonts w:hint="eastAsia" w:ascii="宋体" w:hAnsi="宋体" w:eastAsia="宋体" w:cs="Times New Roman"/>
          <w:sz w:val="24"/>
          <w:szCs w:val="24"/>
          <w:highlight w:val="none"/>
        </w:rPr>
        <w:t>承包方拒接电话或者接到库管通知后在承诺时间内未到公司，每次扣200元；</w:t>
      </w:r>
    </w:p>
    <w:p>
      <w:pPr>
        <w:pStyle w:val="7"/>
        <w:spacing w:before="185" w:line="360" w:lineRule="auto"/>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9、袋装类的饲料卸货由人工进行；禁止使用破坏包装的方式卸货；按照要求分类分批次分状态堆放，堆码高度不超10层，托高不超2托，柱距大于10cm，草库堆放距离墙大于1米，未按照要求堆放每次扣100元；</w:t>
      </w:r>
    </w:p>
    <w:p>
      <w:pPr>
        <w:pStyle w:val="7"/>
        <w:spacing w:before="155" w:line="325" w:lineRule="auto"/>
        <w:ind w:right="82" w:firstLine="519"/>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10、保证司机都具有相应的车辆操作证、驾驶证，应在人员进场前将操作人员的驾驶证复印件拿到安全环保部备案；操作叉车人员需具有叉车特种设备操作证，不得由其他人员进行操作，同一辆叉车不允许两人或两人以上乘坐；</w:t>
      </w:r>
    </w:p>
    <w:p>
      <w:pPr>
        <w:tabs>
          <w:tab w:val="left" w:pos="2975"/>
          <w:tab w:val="left" w:pos="3400"/>
          <w:tab w:val="left" w:pos="3825"/>
          <w:tab w:val="left" w:pos="4250"/>
          <w:tab w:val="left" w:pos="6195"/>
        </w:tabs>
        <w:spacing w:line="360" w:lineRule="auto"/>
        <w:ind w:firstLine="516" w:firstLineChars="200"/>
        <w:rPr>
          <w:rFonts w:hint="default"/>
          <w:spacing w:val="9"/>
          <w:sz w:val="24"/>
          <w:szCs w:val="24"/>
          <w:highlight w:val="none"/>
          <w:lang w:val="en-US" w:eastAsia="zh-CN"/>
        </w:rPr>
      </w:pPr>
      <w:r>
        <w:rPr>
          <w:rFonts w:hint="eastAsia" w:asciiTheme="majorEastAsia" w:hAnsiTheme="majorEastAsia" w:eastAsiaTheme="majorEastAsia" w:cstheme="majorEastAsia"/>
          <w:spacing w:val="9"/>
          <w:kern w:val="2"/>
          <w:sz w:val="24"/>
          <w:szCs w:val="24"/>
          <w:highlight w:val="none"/>
          <w:lang w:val="en-US" w:eastAsia="zh-CN" w:bidi="ar-SA"/>
        </w:rPr>
        <w:t>11、承包方负责给牧场卸所有入库的饲草料，在卸货过程中承包方必须对所卸货物质量进行监督，发现问题及时与饲草料主管沟通，并反馈库</w:t>
      </w:r>
      <w:r>
        <w:rPr>
          <w:rFonts w:hint="eastAsia"/>
          <w:spacing w:val="9"/>
          <w:sz w:val="24"/>
          <w:szCs w:val="24"/>
          <w:highlight w:val="none"/>
          <w:lang w:val="en-US" w:eastAsia="zh-CN"/>
        </w:rPr>
        <w:t>房管理人员；</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12、承包方负责根据牧场的实际生产需求进行倒料和备料工作，饲草料拉运到加工区必须及时将石头、塑料绳等杂物挑出，搅料后发现杂物的每出现一个承包方应向牧场承担违约金50元/个，加工区反馈饲料里有草绳、轮胎、编织袋的承包方应向甲方承担违约金100元/次；</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13、承包方负责按照牧场的要求，各种饲料根据储存条件及物品摆放区域及批次进行摆放，并留有消防通道。未按要求摆放的，要求在一小时内立即整改，如未整改给予乙方500元/次的处罚；</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14、承包方不得出现故意刁难供应商的现象；出现的承包方应向牧场承担违约金1000元/次；发现装卸工在卸货过程中向司机索要钱物的，当日装卸费用全部扣除，同时牧场有权要求承包方更换该外包人员；</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15、承包方人员必须遵循牧场饲草料“先进先出”原则对原料进行倒料工作，未按”先进先出“原则进行工作，承包方应向牧场承担违约金100元/次，该笔违约金从当月劳务费用中扣除；</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16、承包方需依据牧场的生产要求进行人员数量或者人员上下班时间的调整；确保其人员不得在上班期间玩游戏、闲聊、睡觉、做与工作无关的事或无故离开工作岗位；</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17、承包方在车辆无法运转工作时要及时协调车辆，保障加工区的正常用料工作；如因车辆发生故障或损坏影响牧场正常饲喂工作及运行承包方应向牧场承担违约金1000元；</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18、承包方须保证车辆的完好性，包括车内外卫生，车辆的灯具设施，制动设施；</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19、承包方员工违反操作规程，或者没有按照牧场的工作要求执行的，造成所负责的工作不能正常运行，或不能保证工作质量及数量，给牧场造成工作滞后或者损失的；根据以上实际情况向牧场承担 50-5000元违约金/次；</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20、承包方员工进场前需提供健康证明及身份证明，不能提供真实有效的健康证明、身份证明的，或提供虚假的健康证明、身份证明的，不得进场；</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21、承包方人员泄漏牧场相关数据或者人员资料，造成牧场相关人员或者生产受到影响的；或者外传对牧场经济利益不利的相关传言及胡编乱造的，造成的一切损失均由承包方负责；</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22、进入生产区的车辆和人员必须消毒，消毒后方可进入，未经消毒不可进入场区及生产区，如有违反，一经发现承包方应向牧场承担违约金500元/次，如有第二次加倍考核，同时牧场有权终止合同；</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23、承包方人员出现盗窃行为的，每出现一次承包方应向牧场承担违约金2000元，情节严重者交由牧场所在地派出所进行处理；</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24、承包方人员不得损坏牧场财产，如道路牙、场内其他建筑物，如有损坏按照原价赔偿且承包方应向牧场承担违约金500元/次；</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25、承包方必须配合牧场库房管理人员做好“四防”工作(即防火、防鼠、防潮、防盗),不得出现因承包方原因造成库房物料破损或由于防护不到位造成被雨淋、污染等。不允许闲杂人员随便出入库房，如由于承包方原因发生物料丢失，承包方按原价赔偿，如发现承包方员工倒卖牧场财物，承包方按物料的十倍价格赔偿并追究其法律责任；</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26、承包方必须及时完成各种物料的装卸、备料工作，如有特殊原因不能及时完成时，向库管说明原因，不可与司机发生冲突；</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27、承包方人员必须保证各类单据的准确及时上交到牧场保管处；</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28、承包方在装、卸货以及搬运物品时要防止被污染、腐蚀、碰坏划伤等现象发生，对特殊物资进行装、卸车时必须依据实际情况进行调整，以确保物资及人员在卸货时不受到损伤，造成一切损失由承包方承担；</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29、承包方要节约牧场提供的辅料，不允许出现浪费相关成本现象；</w:t>
      </w:r>
    </w:p>
    <w:p>
      <w:pPr>
        <w:tabs>
          <w:tab w:val="left" w:pos="2975"/>
          <w:tab w:val="left" w:pos="3400"/>
          <w:tab w:val="left" w:pos="3825"/>
          <w:tab w:val="left" w:pos="4250"/>
          <w:tab w:val="left" w:pos="6195"/>
        </w:tabs>
        <w:spacing w:line="360" w:lineRule="auto"/>
        <w:ind w:firstLine="516" w:firstLineChars="200"/>
        <w:rPr>
          <w:rFonts w:hint="default"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30、承包方使用牧场提升机、车辆等设备过程中发生的意外事故均由承包方承担；</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31、承包方需为雇佣人员缴纳100万/人及以上保额人员意外险，保单交安全环保部进行备案。</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32、以上考核金额均从当月劳务费用中扣除。</w:t>
      </w:r>
    </w:p>
    <w:p>
      <w:pPr>
        <w:tabs>
          <w:tab w:val="left" w:pos="2975"/>
          <w:tab w:val="left" w:pos="3400"/>
          <w:tab w:val="left" w:pos="3825"/>
          <w:tab w:val="left" w:pos="4250"/>
          <w:tab w:val="left" w:pos="6195"/>
        </w:tabs>
        <w:spacing w:line="360" w:lineRule="auto"/>
        <w:ind w:firstLine="516" w:firstLineChars="200"/>
        <w:rPr>
          <w:rFonts w:hint="eastAsia"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33、外包方进入牧场服务人员需要提供一周之内的布病检测阴性报告，未提供报告或检测结果为阳性者不得入场。</w:t>
      </w:r>
    </w:p>
    <w:p>
      <w:pPr>
        <w:tabs>
          <w:tab w:val="left" w:pos="2975"/>
          <w:tab w:val="left" w:pos="3400"/>
          <w:tab w:val="left" w:pos="3825"/>
          <w:tab w:val="left" w:pos="4250"/>
          <w:tab w:val="left" w:pos="6195"/>
        </w:tabs>
        <w:spacing w:line="500" w:lineRule="exact"/>
        <w:ind w:firstLine="480" w:firstLineChars="200"/>
        <w:rPr>
          <w:rFonts w:hint="eastAsia" w:ascii="宋体" w:hAnsi="宋体" w:eastAsia="宋体" w:cs="Times New Roman"/>
          <w:sz w:val="24"/>
          <w:szCs w:val="32"/>
          <w:highlight w:val="none"/>
        </w:rPr>
      </w:pPr>
      <w:r>
        <w:rPr>
          <w:rFonts w:hint="eastAsia" w:ascii="宋体" w:hAnsi="宋体" w:eastAsia="宋体" w:cs="Times New Roman"/>
          <w:sz w:val="24"/>
          <w:szCs w:val="32"/>
          <w:highlight w:val="none"/>
        </w:rPr>
        <w:t>三、其他要求：</w:t>
      </w:r>
    </w:p>
    <w:p>
      <w:pPr>
        <w:tabs>
          <w:tab w:val="left" w:pos="2975"/>
          <w:tab w:val="left" w:pos="3400"/>
          <w:tab w:val="left" w:pos="3825"/>
          <w:tab w:val="left" w:pos="4250"/>
          <w:tab w:val="left" w:pos="6195"/>
        </w:tabs>
        <w:spacing w:line="500" w:lineRule="exact"/>
        <w:ind w:firstLine="480" w:firstLineChars="200"/>
        <w:rPr>
          <w:rFonts w:hint="eastAsia" w:ascii="宋体" w:hAnsi="宋体" w:eastAsia="宋体" w:cs="Times New Roman"/>
          <w:sz w:val="24"/>
          <w:szCs w:val="32"/>
          <w:highlight w:val="none"/>
        </w:rPr>
      </w:pPr>
      <w:r>
        <w:rPr>
          <w:rFonts w:hint="eastAsia" w:ascii="宋体" w:hAnsi="宋体" w:eastAsia="宋体" w:cs="Times New Roman"/>
          <w:sz w:val="24"/>
          <w:szCs w:val="32"/>
          <w:highlight w:val="none"/>
        </w:rPr>
        <w:t>1、报价单必须全部填写报价，该报价文件视为有效报价，否则废标。</w:t>
      </w:r>
    </w:p>
    <w:p>
      <w:pPr>
        <w:tabs>
          <w:tab w:val="left" w:pos="2975"/>
          <w:tab w:val="left" w:pos="3400"/>
          <w:tab w:val="left" w:pos="3825"/>
          <w:tab w:val="left" w:pos="4250"/>
          <w:tab w:val="left" w:pos="6195"/>
        </w:tabs>
        <w:spacing w:line="500" w:lineRule="exact"/>
        <w:ind w:firstLine="480" w:firstLineChars="200"/>
        <w:rPr>
          <w:rFonts w:hint="eastAsia" w:ascii="宋体" w:hAnsi="宋体" w:eastAsia="宋体" w:cs="Times New Roman"/>
          <w:sz w:val="24"/>
          <w:szCs w:val="32"/>
          <w:highlight w:val="none"/>
        </w:rPr>
      </w:pPr>
      <w:r>
        <w:rPr>
          <w:rFonts w:hint="eastAsia" w:ascii="宋体" w:hAnsi="宋体" w:eastAsia="宋体" w:cs="Times New Roman"/>
          <w:sz w:val="24"/>
          <w:szCs w:val="32"/>
          <w:highlight w:val="none"/>
        </w:rPr>
        <w:t>2、投标文件所有单页必须加盖公章，该报价文件视为有效报价，否则废标。</w:t>
      </w:r>
    </w:p>
    <w:p>
      <w:pPr>
        <w:tabs>
          <w:tab w:val="left" w:pos="2975"/>
          <w:tab w:val="left" w:pos="3400"/>
          <w:tab w:val="left" w:pos="3825"/>
          <w:tab w:val="left" w:pos="4250"/>
          <w:tab w:val="left" w:pos="6195"/>
        </w:tabs>
        <w:spacing w:line="500" w:lineRule="exact"/>
        <w:ind w:firstLine="480" w:firstLineChars="200"/>
        <w:rPr>
          <w:rFonts w:hint="eastAsia" w:ascii="宋体" w:hAnsi="宋体" w:eastAsia="宋体" w:cs="Times New Roman"/>
          <w:sz w:val="24"/>
          <w:szCs w:val="32"/>
          <w:highlight w:val="none"/>
        </w:rPr>
      </w:pPr>
      <w:r>
        <w:rPr>
          <w:rFonts w:hint="eastAsia" w:ascii="宋体" w:hAnsi="宋体" w:eastAsia="宋体" w:cs="Times New Roman"/>
          <w:sz w:val="24"/>
          <w:szCs w:val="32"/>
          <w:highlight w:val="none"/>
        </w:rPr>
        <w:t>3、非法人代表投标的，需要提供委托授权书。</w:t>
      </w:r>
    </w:p>
    <w:p>
      <w:pPr>
        <w:tabs>
          <w:tab w:val="left" w:pos="2975"/>
          <w:tab w:val="left" w:pos="3400"/>
          <w:tab w:val="left" w:pos="3825"/>
          <w:tab w:val="left" w:pos="4250"/>
          <w:tab w:val="left" w:pos="6195"/>
        </w:tabs>
        <w:spacing w:line="500" w:lineRule="exact"/>
        <w:ind w:firstLine="480" w:firstLineChars="200"/>
        <w:rPr>
          <w:rFonts w:hint="eastAsia" w:ascii="宋体" w:hAnsi="宋体" w:eastAsia="宋体" w:cs="Times New Roman"/>
          <w:sz w:val="24"/>
          <w:szCs w:val="32"/>
          <w:highlight w:val="none"/>
        </w:rPr>
      </w:pPr>
      <w:r>
        <w:rPr>
          <w:rFonts w:hint="eastAsia" w:ascii="宋体" w:hAnsi="宋体" w:eastAsia="宋体" w:cs="Times New Roman"/>
          <w:sz w:val="24"/>
          <w:szCs w:val="32"/>
          <w:highlight w:val="none"/>
        </w:rPr>
        <w:t>4、投标人需提供营业执照复印件</w:t>
      </w:r>
      <w:r>
        <w:rPr>
          <w:rFonts w:hint="eastAsia"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lang w:val="en-US" w:eastAsia="zh-CN"/>
        </w:rPr>
        <w:t>经营范围</w:t>
      </w:r>
      <w:r>
        <w:rPr>
          <w:rFonts w:hint="eastAsia" w:ascii="宋体" w:hAnsi="宋体" w:eastAsia="宋体" w:cs="Times New Roman"/>
          <w:color w:val="000000"/>
          <w:sz w:val="24"/>
          <w:szCs w:val="24"/>
          <w:highlight w:val="none"/>
        </w:rPr>
        <w:t>需具备装卸、劳务承包等资质）</w:t>
      </w:r>
      <w:r>
        <w:rPr>
          <w:rFonts w:hint="eastAsia" w:ascii="宋体" w:hAnsi="宋体" w:eastAsia="宋体" w:cs="Times New Roman"/>
          <w:sz w:val="24"/>
          <w:szCs w:val="32"/>
          <w:highlight w:val="none"/>
        </w:rPr>
        <w:t>、法人身份证复印件并加盖公章。</w:t>
      </w:r>
    </w:p>
    <w:p>
      <w:pPr>
        <w:tabs>
          <w:tab w:val="left" w:pos="2975"/>
          <w:tab w:val="left" w:pos="3400"/>
          <w:tab w:val="left" w:pos="3825"/>
          <w:tab w:val="left" w:pos="4250"/>
          <w:tab w:val="left" w:pos="6195"/>
        </w:tabs>
        <w:spacing w:line="500" w:lineRule="exact"/>
        <w:ind w:firstLine="480" w:firstLineChars="200"/>
        <w:rPr>
          <w:rFonts w:hint="eastAsia" w:ascii="Times New Roman" w:hAnsi="宋体" w:eastAsia="宋体" w:cs="Times New Roman"/>
          <w:b/>
          <w:bCs/>
          <w:sz w:val="32"/>
          <w:szCs w:val="20"/>
          <w:highlight w:val="none"/>
        </w:rPr>
      </w:pPr>
      <w:r>
        <w:rPr>
          <w:rFonts w:hint="eastAsia" w:ascii="宋体" w:hAnsi="宋体" w:eastAsia="宋体" w:cs="Times New Roman"/>
          <w:sz w:val="24"/>
          <w:szCs w:val="32"/>
          <w:highlight w:val="none"/>
        </w:rPr>
        <w:t>5、不能到现场的投标方，通过邮寄投标文件且收到投标保证金符合投标资格。</w:t>
      </w:r>
    </w:p>
    <w:p>
      <w:pPr>
        <w:rPr>
          <w:rFonts w:hint="eastAsia" w:ascii="Times New Roman" w:hAnsi="宋体" w:eastAsia="宋体" w:cs="Times New Roman"/>
          <w:b/>
          <w:bCs/>
          <w:sz w:val="44"/>
          <w:szCs w:val="44"/>
          <w:highlight w:val="none"/>
        </w:rPr>
      </w:pPr>
      <w:r>
        <w:rPr>
          <w:rFonts w:hint="eastAsia" w:ascii="Times New Roman" w:hAnsi="宋体" w:eastAsia="宋体" w:cs="Times New Roman"/>
          <w:b/>
          <w:bCs/>
          <w:sz w:val="44"/>
          <w:szCs w:val="44"/>
          <w:highlight w:val="none"/>
        </w:rPr>
        <w:br w:type="page"/>
      </w:r>
    </w:p>
    <w:p>
      <w:pPr>
        <w:spacing w:line="360" w:lineRule="auto"/>
        <w:jc w:val="center"/>
        <w:outlineLvl w:val="0"/>
        <w:rPr>
          <w:rFonts w:hint="eastAsia" w:ascii="Times New Roman" w:hAnsi="宋体" w:eastAsia="宋体" w:cs="Times New Roman"/>
          <w:b/>
          <w:bCs/>
          <w:sz w:val="44"/>
          <w:szCs w:val="44"/>
          <w:highlight w:val="none"/>
        </w:rPr>
      </w:pPr>
      <w:r>
        <w:rPr>
          <w:rFonts w:hint="eastAsia" w:ascii="Times New Roman" w:hAnsi="宋体" w:eastAsia="宋体" w:cs="Times New Roman"/>
          <w:b/>
          <w:bCs/>
          <w:sz w:val="44"/>
          <w:szCs w:val="44"/>
          <w:highlight w:val="none"/>
        </w:rPr>
        <w:t>第四部分 主合同条款</w:t>
      </w:r>
    </w:p>
    <w:p>
      <w:pPr>
        <w:tabs>
          <w:tab w:val="left" w:pos="2975"/>
          <w:tab w:val="left" w:pos="3400"/>
          <w:tab w:val="left" w:pos="3825"/>
          <w:tab w:val="left" w:pos="4250"/>
          <w:tab w:val="left" w:pos="6195"/>
        </w:tabs>
        <w:spacing w:line="360" w:lineRule="auto"/>
        <w:ind w:firstLine="480" w:firstLineChars="200"/>
        <w:rPr>
          <w:rFonts w:hint="default" w:asciiTheme="majorEastAsia" w:hAnsiTheme="majorEastAsia" w:eastAsiaTheme="majorEastAsia" w:cstheme="majorEastAsia"/>
          <w:b w:val="0"/>
          <w:bCs w:val="0"/>
          <w:color w:val="000000"/>
          <w:sz w:val="24"/>
          <w:szCs w:val="24"/>
          <w:highlight w:val="none"/>
          <w:lang w:val="en-US" w:eastAsia="zh-CN"/>
        </w:rPr>
      </w:pPr>
      <w:r>
        <w:rPr>
          <w:rFonts w:hint="eastAsia" w:asciiTheme="majorEastAsia" w:hAnsiTheme="majorEastAsia" w:eastAsiaTheme="majorEastAsia" w:cstheme="majorEastAsia"/>
          <w:b w:val="0"/>
          <w:bCs w:val="0"/>
          <w:color w:val="000000"/>
          <w:sz w:val="24"/>
          <w:szCs w:val="24"/>
          <w:highlight w:val="none"/>
          <w:lang w:val="en-US" w:eastAsia="zh-CN"/>
        </w:rPr>
        <w:t>甲方：中垦牧（陕西）牧业有限公司</w:t>
      </w:r>
    </w:p>
    <w:p>
      <w:pPr>
        <w:tabs>
          <w:tab w:val="left" w:pos="2975"/>
          <w:tab w:val="left" w:pos="3400"/>
          <w:tab w:val="left" w:pos="3825"/>
          <w:tab w:val="left" w:pos="4250"/>
          <w:tab w:val="left" w:pos="6195"/>
        </w:tabs>
        <w:spacing w:line="360" w:lineRule="auto"/>
        <w:ind w:firstLine="480" w:firstLineChars="200"/>
        <w:rPr>
          <w:rFonts w:hint="default" w:asciiTheme="majorEastAsia" w:hAnsiTheme="majorEastAsia" w:eastAsiaTheme="majorEastAsia" w:cstheme="majorEastAsia"/>
          <w:b w:val="0"/>
          <w:bCs w:val="0"/>
          <w:color w:val="000000"/>
          <w:sz w:val="24"/>
          <w:szCs w:val="24"/>
          <w:highlight w:val="none"/>
          <w:lang w:val="en-US" w:eastAsia="zh-CN"/>
        </w:rPr>
      </w:pPr>
      <w:r>
        <w:rPr>
          <w:rFonts w:hint="eastAsia" w:asciiTheme="majorEastAsia" w:hAnsiTheme="majorEastAsia" w:eastAsiaTheme="majorEastAsia" w:cstheme="majorEastAsia"/>
          <w:b w:val="0"/>
          <w:bCs w:val="0"/>
          <w:color w:val="000000"/>
          <w:sz w:val="24"/>
          <w:szCs w:val="24"/>
          <w:highlight w:val="none"/>
          <w:lang w:val="en-US" w:eastAsia="zh-CN"/>
        </w:rPr>
        <w:t>乙方：中标方</w:t>
      </w:r>
    </w:p>
    <w:p>
      <w:pPr>
        <w:tabs>
          <w:tab w:val="left" w:pos="2975"/>
          <w:tab w:val="left" w:pos="3400"/>
          <w:tab w:val="left" w:pos="3825"/>
          <w:tab w:val="left" w:pos="4250"/>
          <w:tab w:val="left" w:pos="6195"/>
        </w:tabs>
        <w:spacing w:line="360" w:lineRule="auto"/>
        <w:ind w:firstLine="480" w:firstLineChars="200"/>
        <w:rPr>
          <w:rFonts w:hint="eastAsia" w:asciiTheme="majorEastAsia" w:hAnsiTheme="majorEastAsia" w:eastAsiaTheme="majorEastAsia" w:cstheme="majorEastAsia"/>
          <w:b w:val="0"/>
          <w:bCs w:val="0"/>
          <w:sz w:val="24"/>
          <w:szCs w:val="24"/>
          <w:highlight w:val="none"/>
        </w:rPr>
      </w:pPr>
      <w:r>
        <w:rPr>
          <w:rFonts w:hint="eastAsia" w:asciiTheme="majorEastAsia" w:hAnsiTheme="majorEastAsia" w:eastAsiaTheme="majorEastAsia" w:cstheme="majorEastAsia"/>
          <w:b w:val="0"/>
          <w:bCs w:val="0"/>
          <w:color w:val="000000"/>
          <w:sz w:val="24"/>
          <w:szCs w:val="24"/>
          <w:highlight w:val="none"/>
        </w:rPr>
        <w:t>一、</w:t>
      </w:r>
      <w:r>
        <w:rPr>
          <w:rFonts w:hint="eastAsia" w:asciiTheme="majorEastAsia" w:hAnsiTheme="majorEastAsia" w:eastAsiaTheme="majorEastAsia" w:cstheme="majorEastAsia"/>
          <w:b w:val="0"/>
          <w:bCs w:val="0"/>
          <w:sz w:val="24"/>
          <w:szCs w:val="24"/>
          <w:highlight w:val="none"/>
        </w:rPr>
        <w:t>服务事项及费用标准：</w:t>
      </w:r>
    </w:p>
    <w:tbl>
      <w:tblPr>
        <w:tblStyle w:val="24"/>
        <w:tblW w:w="110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5"/>
        <w:gridCol w:w="785"/>
        <w:gridCol w:w="2041"/>
        <w:gridCol w:w="1064"/>
        <w:gridCol w:w="1081"/>
        <w:gridCol w:w="897"/>
        <w:gridCol w:w="917"/>
        <w:gridCol w:w="35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pStyle w:val="23"/>
              <w:spacing w:before="254" w:line="220" w:lineRule="auto"/>
              <w:jc w:val="center"/>
              <w:rPr>
                <w:rFonts w:hint="eastAsia"/>
                <w:sz w:val="20"/>
                <w:szCs w:val="20"/>
                <w:highlight w:val="none"/>
              </w:rPr>
            </w:pPr>
            <w:r>
              <w:rPr>
                <w:spacing w:val="-6"/>
                <w:sz w:val="20"/>
                <w:szCs w:val="20"/>
                <w:highlight w:val="none"/>
              </w:rPr>
              <w:t>项目</w:t>
            </w:r>
          </w:p>
        </w:tc>
        <w:tc>
          <w:tcPr>
            <w:tcW w:w="785" w:type="dxa"/>
            <w:tcBorders>
              <w:top w:val="single" w:color="auto" w:sz="4" w:space="0"/>
              <w:left w:val="single" w:color="auto" w:sz="4" w:space="0"/>
              <w:bottom w:val="single" w:color="auto" w:sz="4" w:space="0"/>
              <w:right w:val="single" w:color="auto" w:sz="4" w:space="0"/>
            </w:tcBorders>
            <w:vAlign w:val="center"/>
          </w:tcPr>
          <w:p>
            <w:pPr>
              <w:pStyle w:val="23"/>
              <w:spacing w:before="254" w:line="219" w:lineRule="auto"/>
              <w:jc w:val="center"/>
              <w:rPr>
                <w:rFonts w:hint="eastAsia"/>
                <w:sz w:val="20"/>
                <w:szCs w:val="20"/>
                <w:highlight w:val="none"/>
              </w:rPr>
            </w:pPr>
            <w:r>
              <w:rPr>
                <w:spacing w:val="7"/>
                <w:sz w:val="20"/>
                <w:szCs w:val="20"/>
                <w:highlight w:val="none"/>
              </w:rPr>
              <w:t>类型</w:t>
            </w:r>
          </w:p>
        </w:tc>
        <w:tc>
          <w:tcPr>
            <w:tcW w:w="2041" w:type="dxa"/>
            <w:tcBorders>
              <w:top w:val="single" w:color="auto" w:sz="4" w:space="0"/>
              <w:left w:val="single" w:color="auto" w:sz="4" w:space="0"/>
              <w:bottom w:val="single" w:color="auto" w:sz="4" w:space="0"/>
              <w:right w:val="single" w:color="auto" w:sz="4" w:space="0"/>
            </w:tcBorders>
            <w:vAlign w:val="center"/>
          </w:tcPr>
          <w:p>
            <w:pPr>
              <w:pStyle w:val="23"/>
              <w:spacing w:before="254" w:line="219" w:lineRule="auto"/>
              <w:jc w:val="center"/>
              <w:rPr>
                <w:rFonts w:hint="eastAsia"/>
                <w:sz w:val="20"/>
                <w:szCs w:val="20"/>
                <w:highlight w:val="none"/>
              </w:rPr>
            </w:pPr>
            <w:r>
              <w:rPr>
                <w:spacing w:val="9"/>
                <w:sz w:val="20"/>
                <w:szCs w:val="20"/>
                <w:highlight w:val="none"/>
              </w:rPr>
              <w:t>类别</w:t>
            </w:r>
          </w:p>
        </w:tc>
        <w:tc>
          <w:tcPr>
            <w:tcW w:w="1064" w:type="dxa"/>
            <w:tcBorders>
              <w:top w:val="single" w:color="auto" w:sz="4" w:space="0"/>
              <w:left w:val="single" w:color="auto" w:sz="4" w:space="0"/>
              <w:bottom w:val="single" w:color="auto" w:sz="4" w:space="0"/>
              <w:right w:val="single" w:color="auto" w:sz="4" w:space="0"/>
            </w:tcBorders>
            <w:vAlign w:val="center"/>
          </w:tcPr>
          <w:p>
            <w:pPr>
              <w:pStyle w:val="23"/>
              <w:spacing w:before="254" w:line="220" w:lineRule="auto"/>
              <w:jc w:val="center"/>
              <w:rPr>
                <w:rFonts w:hint="eastAsia"/>
                <w:sz w:val="20"/>
                <w:szCs w:val="20"/>
                <w:highlight w:val="none"/>
              </w:rPr>
            </w:pPr>
            <w:r>
              <w:rPr>
                <w:spacing w:val="-3"/>
                <w:sz w:val="20"/>
                <w:szCs w:val="20"/>
                <w:highlight w:val="none"/>
              </w:rPr>
              <w:t>单位</w:t>
            </w:r>
          </w:p>
        </w:tc>
        <w:tc>
          <w:tcPr>
            <w:tcW w:w="1081" w:type="dxa"/>
            <w:tcBorders>
              <w:top w:val="single" w:color="auto" w:sz="4" w:space="0"/>
              <w:left w:val="single" w:color="auto" w:sz="4" w:space="0"/>
              <w:bottom w:val="single" w:color="auto" w:sz="4" w:space="0"/>
              <w:right w:val="single" w:color="auto" w:sz="4" w:space="0"/>
            </w:tcBorders>
            <w:vAlign w:val="center"/>
          </w:tcPr>
          <w:p>
            <w:pPr>
              <w:pStyle w:val="23"/>
              <w:spacing w:before="254" w:line="219" w:lineRule="auto"/>
              <w:jc w:val="center"/>
              <w:rPr>
                <w:rFonts w:hint="default" w:eastAsia="宋体"/>
                <w:spacing w:val="-2"/>
                <w:sz w:val="20"/>
                <w:szCs w:val="20"/>
                <w:highlight w:val="none"/>
                <w:lang w:val="en-US" w:eastAsia="zh-CN"/>
              </w:rPr>
            </w:pPr>
            <w:r>
              <w:rPr>
                <w:rFonts w:hint="eastAsia" w:ascii="宋体" w:hAnsi="宋体" w:eastAsia="宋体" w:cs="宋体"/>
                <w:spacing w:val="-2"/>
                <w:sz w:val="20"/>
                <w:szCs w:val="20"/>
                <w:highlight w:val="none"/>
                <w:lang w:val="en-US" w:eastAsia="zh-CN"/>
              </w:rPr>
              <w:t>年预计数量</w:t>
            </w:r>
          </w:p>
        </w:tc>
        <w:tc>
          <w:tcPr>
            <w:tcW w:w="897" w:type="dxa"/>
            <w:tcBorders>
              <w:top w:val="single" w:color="auto" w:sz="4" w:space="0"/>
              <w:left w:val="single" w:color="auto" w:sz="4" w:space="0"/>
              <w:bottom w:val="single" w:color="auto" w:sz="4" w:space="0"/>
              <w:right w:val="single" w:color="auto" w:sz="4" w:space="0"/>
            </w:tcBorders>
            <w:vAlign w:val="center"/>
          </w:tcPr>
          <w:p>
            <w:pPr>
              <w:pStyle w:val="23"/>
              <w:spacing w:before="254" w:line="219" w:lineRule="auto"/>
              <w:jc w:val="center"/>
              <w:rPr>
                <w:rFonts w:hint="eastAsia" w:eastAsia="宋体"/>
                <w:spacing w:val="-2"/>
                <w:sz w:val="20"/>
                <w:szCs w:val="20"/>
                <w:highlight w:val="none"/>
                <w:lang w:val="en-US" w:eastAsia="zh-CN"/>
              </w:rPr>
            </w:pPr>
            <w:r>
              <w:rPr>
                <w:rFonts w:hint="eastAsia"/>
                <w:spacing w:val="-2"/>
                <w:sz w:val="20"/>
                <w:szCs w:val="20"/>
                <w:highlight w:val="none"/>
                <w:lang w:val="en-US" w:eastAsia="zh-CN"/>
              </w:rPr>
              <w:t>单价（元/吨）</w:t>
            </w:r>
          </w:p>
        </w:tc>
        <w:tc>
          <w:tcPr>
            <w:tcW w:w="917" w:type="dxa"/>
            <w:tcBorders>
              <w:top w:val="single" w:color="auto" w:sz="4" w:space="0"/>
              <w:left w:val="single" w:color="auto" w:sz="4" w:space="0"/>
              <w:bottom w:val="single" w:color="auto" w:sz="4" w:space="0"/>
              <w:right w:val="single" w:color="auto" w:sz="4" w:space="0"/>
            </w:tcBorders>
            <w:vAlign w:val="center"/>
          </w:tcPr>
          <w:p>
            <w:pPr>
              <w:pStyle w:val="23"/>
              <w:spacing w:before="254" w:line="219" w:lineRule="auto"/>
              <w:jc w:val="center"/>
              <w:rPr>
                <w:rFonts w:hint="eastAsia" w:eastAsia="宋体"/>
                <w:spacing w:val="-2"/>
                <w:sz w:val="20"/>
                <w:szCs w:val="20"/>
                <w:highlight w:val="none"/>
                <w:lang w:val="en-US" w:eastAsia="zh-CN"/>
              </w:rPr>
            </w:pPr>
            <w:r>
              <w:rPr>
                <w:rFonts w:hint="eastAsia"/>
                <w:spacing w:val="-2"/>
                <w:sz w:val="20"/>
                <w:szCs w:val="20"/>
                <w:highlight w:val="none"/>
                <w:lang w:val="en-US" w:eastAsia="zh-CN"/>
              </w:rPr>
              <w:t>预计总价（元/年）</w:t>
            </w:r>
          </w:p>
        </w:tc>
        <w:tc>
          <w:tcPr>
            <w:tcW w:w="3517" w:type="dxa"/>
            <w:tcBorders>
              <w:top w:val="single" w:color="auto" w:sz="4" w:space="0"/>
              <w:left w:val="single" w:color="auto" w:sz="4" w:space="0"/>
              <w:bottom w:val="single" w:color="auto" w:sz="4" w:space="0"/>
              <w:right w:val="single" w:color="auto" w:sz="4" w:space="0"/>
            </w:tcBorders>
            <w:vAlign w:val="center"/>
          </w:tcPr>
          <w:p>
            <w:pPr>
              <w:pStyle w:val="23"/>
              <w:spacing w:before="254" w:line="219" w:lineRule="auto"/>
              <w:ind w:left="1285"/>
              <w:jc w:val="both"/>
              <w:rPr>
                <w:rFonts w:hint="eastAsia"/>
                <w:sz w:val="20"/>
                <w:szCs w:val="20"/>
                <w:highlight w:val="none"/>
              </w:rPr>
            </w:pPr>
            <w:r>
              <w:rPr>
                <w:spacing w:val="-2"/>
                <w:sz w:val="20"/>
                <w:szCs w:val="20"/>
                <w:highlight w:val="none"/>
              </w:rPr>
              <w:t>服务标准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7" w:hRule="atLeast"/>
          <w:jc w:val="center"/>
        </w:trPr>
        <w:tc>
          <w:tcPr>
            <w:tcW w:w="785" w:type="dxa"/>
            <w:vMerge w:val="restart"/>
            <w:tcBorders>
              <w:top w:val="single" w:color="auto" w:sz="4" w:space="0"/>
              <w:left w:val="single" w:color="auto" w:sz="4" w:space="0"/>
              <w:bottom w:val="single" w:color="auto" w:sz="4" w:space="0"/>
              <w:right w:val="single" w:color="auto" w:sz="4" w:space="0"/>
            </w:tcBorders>
            <w:vAlign w:val="center"/>
          </w:tcPr>
          <w:p>
            <w:pPr>
              <w:pStyle w:val="23"/>
              <w:spacing w:before="71" w:line="220" w:lineRule="auto"/>
              <w:ind w:left="134"/>
              <w:jc w:val="center"/>
              <w:rPr>
                <w:rFonts w:hint="eastAsia"/>
                <w:sz w:val="20"/>
                <w:szCs w:val="20"/>
                <w:highlight w:val="none"/>
              </w:rPr>
            </w:pPr>
            <w:r>
              <w:rPr>
                <w:spacing w:val="3"/>
                <w:sz w:val="20"/>
                <w:szCs w:val="20"/>
                <w:highlight w:val="none"/>
              </w:rPr>
              <w:t>装卸</w:t>
            </w:r>
            <w:r>
              <w:rPr>
                <w:rFonts w:hint="eastAsia"/>
                <w:spacing w:val="3"/>
                <w:sz w:val="20"/>
                <w:szCs w:val="20"/>
                <w:highlight w:val="none"/>
                <w:lang w:val="en-US" w:eastAsia="zh-CN"/>
              </w:rPr>
              <w:t>及倒料</w:t>
            </w:r>
            <w:r>
              <w:rPr>
                <w:spacing w:val="3"/>
                <w:sz w:val="20"/>
                <w:szCs w:val="20"/>
                <w:highlight w:val="none"/>
              </w:rPr>
              <w:t>工作</w:t>
            </w:r>
          </w:p>
        </w:tc>
        <w:tc>
          <w:tcPr>
            <w:tcW w:w="785" w:type="dxa"/>
            <w:tcBorders>
              <w:top w:val="single" w:color="auto" w:sz="4" w:space="0"/>
              <w:left w:val="single" w:color="auto" w:sz="4" w:space="0"/>
              <w:bottom w:val="single" w:color="auto" w:sz="4" w:space="0"/>
              <w:right w:val="single" w:color="auto" w:sz="4" w:space="0"/>
            </w:tcBorders>
            <w:vAlign w:val="center"/>
          </w:tcPr>
          <w:p>
            <w:pPr>
              <w:pStyle w:val="23"/>
              <w:spacing w:before="71" w:line="220" w:lineRule="auto"/>
              <w:jc w:val="center"/>
              <w:rPr>
                <w:rFonts w:hint="eastAsia"/>
                <w:sz w:val="20"/>
                <w:szCs w:val="20"/>
                <w:highlight w:val="none"/>
              </w:rPr>
            </w:pPr>
            <w:r>
              <w:rPr>
                <w:spacing w:val="-2"/>
                <w:sz w:val="20"/>
                <w:szCs w:val="20"/>
                <w:highlight w:val="none"/>
              </w:rPr>
              <w:t>袋装料</w:t>
            </w:r>
          </w:p>
        </w:tc>
        <w:tc>
          <w:tcPr>
            <w:tcW w:w="2041"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default"/>
                <w:sz w:val="20"/>
                <w:szCs w:val="20"/>
                <w:highlight w:val="none"/>
                <w:lang w:val="en-US" w:eastAsia="zh-CN"/>
              </w:rPr>
            </w:pPr>
            <w:r>
              <w:rPr>
                <w:spacing w:val="-1"/>
                <w:sz w:val="20"/>
                <w:szCs w:val="20"/>
                <w:highlight w:val="none"/>
                <w:lang w:eastAsia="zh-CN"/>
              </w:rPr>
              <w:t>豆粕、</w:t>
            </w:r>
            <w:r>
              <w:rPr>
                <w:rFonts w:hint="eastAsia"/>
                <w:spacing w:val="-1"/>
                <w:sz w:val="20"/>
                <w:szCs w:val="20"/>
                <w:highlight w:val="none"/>
                <w:lang w:val="en-US" w:eastAsia="zh-CN"/>
              </w:rPr>
              <w:t>菜粕、</w:t>
            </w:r>
            <w:r>
              <w:rPr>
                <w:rFonts w:hint="eastAsia"/>
                <w:spacing w:val="-1"/>
                <w:sz w:val="20"/>
                <w:szCs w:val="20"/>
                <w:highlight w:val="none"/>
                <w:lang w:eastAsia="zh-CN"/>
              </w:rPr>
              <w:t>甜菜颗粒、</w:t>
            </w:r>
            <w:r>
              <w:rPr>
                <w:rFonts w:hint="eastAsia"/>
                <w:spacing w:val="-1"/>
                <w:sz w:val="20"/>
                <w:szCs w:val="20"/>
                <w:highlight w:val="none"/>
                <w:lang w:val="en-US" w:eastAsia="zh-CN"/>
              </w:rPr>
              <w:t>膨化大豆、有机豆饼粉、玉米蛋白粉、</w:t>
            </w:r>
            <w:r>
              <w:rPr>
                <w:spacing w:val="-1"/>
                <w:sz w:val="20"/>
                <w:szCs w:val="20"/>
                <w:highlight w:val="none"/>
                <w:lang w:eastAsia="zh-CN"/>
              </w:rPr>
              <w:t>预混料类</w:t>
            </w:r>
            <w:r>
              <w:rPr>
                <w:rFonts w:hint="eastAsia"/>
                <w:spacing w:val="-1"/>
                <w:sz w:val="20"/>
                <w:szCs w:val="20"/>
                <w:highlight w:val="none"/>
                <w:lang w:eastAsia="zh-CN"/>
              </w:rPr>
              <w:t>、</w:t>
            </w:r>
            <w:r>
              <w:rPr>
                <w:spacing w:val="-1"/>
                <w:sz w:val="20"/>
                <w:szCs w:val="20"/>
                <w:highlight w:val="none"/>
                <w:lang w:eastAsia="zh-CN"/>
              </w:rPr>
              <w:t>稻壳粉</w:t>
            </w:r>
            <w:r>
              <w:rPr>
                <w:spacing w:val="1"/>
                <w:sz w:val="20"/>
                <w:szCs w:val="20"/>
                <w:highlight w:val="none"/>
                <w:lang w:eastAsia="zh-CN"/>
              </w:rPr>
              <w:t>等</w:t>
            </w:r>
            <w:r>
              <w:rPr>
                <w:rFonts w:hint="eastAsia"/>
                <w:spacing w:val="1"/>
                <w:sz w:val="20"/>
                <w:szCs w:val="20"/>
                <w:highlight w:val="none"/>
                <w:lang w:val="en-US" w:eastAsia="zh-CN"/>
              </w:rPr>
              <w:t>袋装原料</w:t>
            </w:r>
          </w:p>
        </w:tc>
        <w:tc>
          <w:tcPr>
            <w:tcW w:w="1064"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snapToGrid/>
              <w:spacing w:before="71" w:line="0" w:lineRule="atLeast"/>
              <w:jc w:val="center"/>
              <w:textAlignment w:val="auto"/>
              <w:rPr>
                <w:rFonts w:hint="eastAsia"/>
                <w:sz w:val="20"/>
                <w:szCs w:val="20"/>
                <w:highlight w:val="none"/>
              </w:rPr>
            </w:pPr>
            <w:r>
              <w:rPr>
                <w:sz w:val="20"/>
                <w:szCs w:val="20"/>
                <w:highlight w:val="none"/>
              </w:rPr>
              <w:t>吨</w:t>
            </w:r>
          </w:p>
        </w:tc>
        <w:tc>
          <w:tcPr>
            <w:tcW w:w="1081"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snapToGrid/>
              <w:spacing w:before="37" w:line="0" w:lineRule="atLeast"/>
              <w:ind w:right="92"/>
              <w:jc w:val="center"/>
              <w:textAlignment w:val="auto"/>
              <w:rPr>
                <w:rFonts w:hint="eastAsia" w:asciiTheme="majorEastAsia" w:hAnsiTheme="majorEastAsia" w:eastAsiaTheme="majorEastAsia" w:cstheme="majorEastAsia"/>
                <w:sz w:val="20"/>
                <w:szCs w:val="20"/>
                <w:highlight w:val="none"/>
                <w:lang w:val="en-US" w:eastAsia="zh-CN"/>
              </w:rPr>
            </w:pPr>
            <w:r>
              <w:rPr>
                <w:rFonts w:hint="eastAsia" w:asciiTheme="majorEastAsia" w:hAnsiTheme="majorEastAsia" w:eastAsiaTheme="majorEastAsia" w:cstheme="majorEastAsia"/>
                <w:sz w:val="20"/>
                <w:szCs w:val="20"/>
                <w:highlight w:val="none"/>
                <w:lang w:val="en-US" w:eastAsia="zh-CN"/>
              </w:rPr>
              <w:t>16300</w:t>
            </w:r>
          </w:p>
        </w:tc>
        <w:tc>
          <w:tcPr>
            <w:tcW w:w="1814" w:type="dxa"/>
            <w:gridSpan w:val="2"/>
            <w:vMerge w:val="restart"/>
            <w:tcBorders>
              <w:top w:val="single" w:color="auto" w:sz="4" w:space="0"/>
              <w:left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snapToGrid/>
              <w:spacing w:before="37" w:line="0" w:lineRule="atLeast"/>
              <w:ind w:right="92"/>
              <w:jc w:val="center"/>
              <w:textAlignment w:val="auto"/>
              <w:rPr>
                <w:rFonts w:hint="eastAsia" w:eastAsia="宋体" w:asciiTheme="minorEastAsia" w:hAnsiTheme="minorEastAsia" w:cstheme="minorEastAsia"/>
                <w:sz w:val="20"/>
                <w:szCs w:val="20"/>
                <w:highlight w:val="none"/>
                <w:lang w:val="en-US" w:eastAsia="zh-CN"/>
              </w:rPr>
            </w:pPr>
            <w:r>
              <w:rPr>
                <w:rFonts w:hint="eastAsia" w:ascii="宋体" w:hAnsi="宋体"/>
                <w:color w:val="000000"/>
                <w:sz w:val="20"/>
                <w:szCs w:val="20"/>
                <w:highlight w:val="none"/>
              </w:rPr>
              <w:t>按中标价格</w:t>
            </w:r>
            <w:r>
              <w:rPr>
                <w:rFonts w:hint="eastAsia" w:ascii="宋体" w:hAnsi="宋体"/>
                <w:color w:val="000000"/>
                <w:sz w:val="20"/>
                <w:szCs w:val="20"/>
                <w:highlight w:val="none"/>
                <w:lang w:val="en-US" w:eastAsia="zh-CN"/>
              </w:rPr>
              <w:t>执行</w:t>
            </w:r>
          </w:p>
        </w:tc>
        <w:tc>
          <w:tcPr>
            <w:tcW w:w="3517" w:type="dxa"/>
            <w:vMerge w:val="restart"/>
            <w:tcBorders>
              <w:top w:val="single" w:color="auto" w:sz="4" w:space="0"/>
              <w:left w:val="single" w:color="auto" w:sz="4" w:space="0"/>
              <w:bottom w:val="single" w:color="auto" w:sz="4" w:space="0"/>
              <w:right w:val="single" w:color="auto" w:sz="4" w:space="0"/>
            </w:tcBorders>
          </w:tcPr>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eastAsia" w:ascii="宋体" w:hAnsi="宋体" w:eastAsia="宋体" w:cs="宋体"/>
                <w:spacing w:val="-1"/>
                <w:sz w:val="20"/>
                <w:szCs w:val="20"/>
                <w:highlight w:val="none"/>
                <w:lang w:val="en-US" w:eastAsia="zh-CN"/>
              </w:rPr>
            </w:pPr>
            <w:r>
              <w:rPr>
                <w:rFonts w:hint="eastAsia" w:ascii="宋体" w:hAnsi="宋体" w:eastAsia="宋体" w:cs="宋体"/>
                <w:spacing w:val="-1"/>
                <w:sz w:val="20"/>
                <w:szCs w:val="20"/>
                <w:highlight w:val="none"/>
                <w:lang w:val="en-US" w:eastAsia="zh-CN"/>
              </w:rPr>
              <w:t>1、饲料装卸按照库管要求整齐码垛并放置指定位置（日来货约102吨；其中袋装料要求进行堆码），袋装类的饲料卸货由人工进行；禁止使用破坏包装的方式卸货；按照要求分类分批次分状态堆放，堆码高度不超10层，柱距大于10cm，草库堆放距离墙大于1米；</w:t>
            </w:r>
          </w:p>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eastAsia" w:ascii="宋体" w:hAnsi="宋体" w:eastAsia="宋体" w:cs="宋体"/>
                <w:spacing w:val="-1"/>
                <w:sz w:val="20"/>
                <w:szCs w:val="20"/>
                <w:highlight w:val="none"/>
                <w:lang w:val="en-US" w:eastAsia="zh-CN"/>
              </w:rPr>
            </w:pPr>
            <w:r>
              <w:rPr>
                <w:rFonts w:hint="eastAsia" w:ascii="宋体" w:hAnsi="宋体" w:eastAsia="宋体" w:cs="宋体"/>
                <w:spacing w:val="-1"/>
                <w:sz w:val="20"/>
                <w:szCs w:val="20"/>
                <w:highlight w:val="none"/>
                <w:lang w:val="en-US" w:eastAsia="zh-CN"/>
              </w:rPr>
              <w:t>2、倒运物料时需要将物料从料库 倒运至料仓内（转运距离200米），日转运数量约102吨；</w:t>
            </w:r>
          </w:p>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eastAsia" w:ascii="宋体" w:hAnsi="宋体" w:eastAsia="宋体" w:cs="宋体"/>
                <w:spacing w:val="-1"/>
                <w:sz w:val="20"/>
                <w:szCs w:val="20"/>
                <w:highlight w:val="none"/>
                <w:lang w:val="en-US" w:eastAsia="zh-CN"/>
              </w:rPr>
            </w:pPr>
            <w:r>
              <w:rPr>
                <w:rFonts w:hint="eastAsia" w:ascii="宋体" w:hAnsi="宋体" w:eastAsia="宋体" w:cs="宋体"/>
                <w:spacing w:val="-1"/>
                <w:sz w:val="20"/>
                <w:szCs w:val="20"/>
                <w:highlight w:val="none"/>
                <w:lang w:val="en-US" w:eastAsia="zh-CN"/>
              </w:rPr>
              <w:t>3、预混料制作在小料车间，需按要求拆袋称量后，配制进仓；</w:t>
            </w:r>
          </w:p>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eastAsia" w:ascii="宋体" w:hAnsi="宋体" w:eastAsia="宋体" w:cs="宋体"/>
                <w:spacing w:val="-1"/>
                <w:sz w:val="20"/>
                <w:szCs w:val="20"/>
                <w:highlight w:val="none"/>
                <w:lang w:val="en-US" w:eastAsia="zh-CN"/>
              </w:rPr>
            </w:pPr>
            <w:r>
              <w:rPr>
                <w:rFonts w:hint="eastAsia" w:ascii="宋体" w:hAnsi="宋体" w:eastAsia="宋体" w:cs="宋体"/>
                <w:spacing w:val="-1"/>
                <w:sz w:val="20"/>
                <w:szCs w:val="20"/>
                <w:highlight w:val="none"/>
                <w:lang w:val="en-US" w:eastAsia="zh-CN"/>
              </w:rPr>
              <w:t>4、及时清理散落的饲料，保持现场卫生整洁；</w:t>
            </w:r>
          </w:p>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eastAsia" w:ascii="宋体" w:hAnsi="宋体" w:eastAsia="宋体" w:cs="宋体"/>
                <w:spacing w:val="-1"/>
                <w:sz w:val="20"/>
                <w:szCs w:val="20"/>
                <w:highlight w:val="none"/>
                <w:lang w:val="en-US" w:eastAsia="zh-CN"/>
              </w:rPr>
            </w:pPr>
            <w:r>
              <w:rPr>
                <w:rFonts w:hint="eastAsia" w:ascii="宋体" w:hAnsi="宋体" w:eastAsia="宋体" w:cs="宋体"/>
                <w:spacing w:val="-1"/>
                <w:sz w:val="20"/>
                <w:szCs w:val="20"/>
                <w:highlight w:val="none"/>
                <w:lang w:val="en-US" w:eastAsia="zh-CN"/>
              </w:rPr>
              <w:t>5、根据实际需求对物料进行遮盖；</w:t>
            </w:r>
          </w:p>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eastAsia" w:ascii="宋体" w:hAnsi="宋体" w:eastAsia="宋体" w:cs="宋体"/>
                <w:spacing w:val="-1"/>
                <w:sz w:val="20"/>
                <w:szCs w:val="20"/>
                <w:highlight w:val="none"/>
                <w:lang w:val="en-US" w:eastAsia="zh-CN"/>
              </w:rPr>
            </w:pPr>
            <w:r>
              <w:rPr>
                <w:rFonts w:hint="eastAsia" w:ascii="宋体" w:hAnsi="宋体" w:eastAsia="宋体" w:cs="宋体"/>
                <w:spacing w:val="-1"/>
                <w:sz w:val="20"/>
                <w:szCs w:val="20"/>
                <w:highlight w:val="none"/>
                <w:lang w:val="en-US" w:eastAsia="zh-CN"/>
              </w:rPr>
              <w:t>6、特种车辆驾驶人员需要持证上岗 ；</w:t>
            </w:r>
          </w:p>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eastAsia" w:ascii="宋体" w:hAnsi="宋体" w:eastAsia="宋体" w:cs="宋体"/>
                <w:spacing w:val="-1"/>
                <w:sz w:val="20"/>
                <w:szCs w:val="20"/>
                <w:highlight w:val="none"/>
                <w:lang w:val="en-US" w:eastAsia="zh-CN"/>
              </w:rPr>
            </w:pPr>
            <w:r>
              <w:rPr>
                <w:rFonts w:hint="eastAsia" w:ascii="宋体" w:hAnsi="宋体" w:eastAsia="宋体" w:cs="宋体"/>
                <w:spacing w:val="-1"/>
                <w:sz w:val="20"/>
                <w:szCs w:val="20"/>
                <w:highlight w:val="none"/>
                <w:lang w:val="en-US" w:eastAsia="zh-CN"/>
              </w:rPr>
              <w:t>7、牧场提供部分车辆（可正常使用），包括50装机1台、叉车一台、金刚车一台，其余车辆及工具由承包方自行组织；</w:t>
            </w:r>
          </w:p>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eastAsia"/>
                <w:highlight w:val="none"/>
                <w:lang w:eastAsia="zh-CN"/>
              </w:rPr>
            </w:pPr>
            <w:r>
              <w:rPr>
                <w:rFonts w:hint="eastAsia" w:ascii="宋体" w:hAnsi="宋体" w:eastAsia="宋体" w:cs="宋体"/>
                <w:spacing w:val="-1"/>
                <w:sz w:val="20"/>
                <w:szCs w:val="20"/>
                <w:highlight w:val="none"/>
                <w:lang w:val="en-US" w:eastAsia="zh-CN"/>
              </w:rPr>
              <w:t>8、所有设备使用的燃油、维修费用、保养费用、人员保险、食宿、劳保用品、税费等均由承包方负责，牧场提供的车辆保养频次需按牧场设备保养计划执行（装载机、叉车、金刚车每月更换机油、机滤、柴滤；预计费用17000元，液压油及液力传动油预计费用6000元），合同期满后承包方对设备进行检修保养，确保车辆正常使用后交付牧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jc w:val="center"/>
        </w:trPr>
        <w:tc>
          <w:tcPr>
            <w:tcW w:w="785" w:type="dxa"/>
            <w:vMerge w:val="continue"/>
            <w:tcBorders>
              <w:top w:val="single" w:color="auto" w:sz="4" w:space="0"/>
              <w:left w:val="single" w:color="auto" w:sz="4" w:space="0"/>
              <w:bottom w:val="single" w:color="auto" w:sz="4" w:space="0"/>
              <w:right w:val="single" w:color="auto" w:sz="4" w:space="0"/>
            </w:tcBorders>
          </w:tcPr>
          <w:p>
            <w:pPr>
              <w:rPr>
                <w:rFonts w:ascii="Arial"/>
                <w:highlight w:val="none"/>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before="72" w:line="219" w:lineRule="auto"/>
              <w:jc w:val="center"/>
              <w:rPr>
                <w:rFonts w:hint="eastAsia" w:ascii="宋体" w:hAnsi="宋体" w:eastAsia="宋体" w:cs="宋体"/>
                <w:kern w:val="2"/>
                <w:sz w:val="20"/>
                <w:szCs w:val="20"/>
                <w:highlight w:val="none"/>
                <w:lang w:val="en-US" w:eastAsia="en-US" w:bidi="ar-SA"/>
              </w:rPr>
            </w:pPr>
            <w:r>
              <w:rPr>
                <w:spacing w:val="-2"/>
                <w:sz w:val="20"/>
                <w:szCs w:val="20"/>
                <w:highlight w:val="none"/>
              </w:rPr>
              <w:t>散装料</w:t>
            </w:r>
          </w:p>
        </w:tc>
        <w:tc>
          <w:tcPr>
            <w:tcW w:w="20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default" w:ascii="宋体" w:hAnsi="宋体" w:eastAsia="宋体" w:cs="宋体"/>
                <w:spacing w:val="-1"/>
                <w:sz w:val="20"/>
                <w:szCs w:val="20"/>
                <w:highlight w:val="none"/>
                <w:lang w:val="en-US" w:eastAsia="zh-CN"/>
              </w:rPr>
            </w:pPr>
            <w:r>
              <w:rPr>
                <w:rFonts w:hint="eastAsia" w:ascii="宋体" w:hAnsi="宋体" w:eastAsia="宋体" w:cs="宋体"/>
                <w:spacing w:val="-1"/>
                <w:sz w:val="20"/>
                <w:szCs w:val="20"/>
                <w:highlight w:val="none"/>
                <w:lang w:eastAsia="zh-CN"/>
              </w:rPr>
              <w:t>玉米、压片玉米、稻糠、稻壳等</w:t>
            </w:r>
            <w:r>
              <w:rPr>
                <w:rFonts w:hint="eastAsia" w:ascii="宋体" w:hAnsi="宋体" w:eastAsia="宋体" w:cs="宋体"/>
                <w:spacing w:val="-1"/>
                <w:sz w:val="20"/>
                <w:szCs w:val="20"/>
                <w:highlight w:val="none"/>
                <w:lang w:val="en-US" w:eastAsia="zh-CN"/>
              </w:rPr>
              <w:t>散装原料</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before="71" w:line="229" w:lineRule="auto"/>
              <w:jc w:val="center"/>
              <w:rPr>
                <w:rFonts w:hint="eastAsia" w:ascii="宋体" w:hAnsi="宋体" w:eastAsia="宋体" w:cs="宋体"/>
                <w:kern w:val="2"/>
                <w:sz w:val="20"/>
                <w:szCs w:val="20"/>
                <w:highlight w:val="none"/>
                <w:lang w:val="en-US" w:eastAsia="en-US" w:bidi="ar-SA"/>
              </w:rPr>
            </w:pPr>
            <w:r>
              <w:rPr>
                <w:sz w:val="20"/>
                <w:szCs w:val="20"/>
                <w:highlight w:val="none"/>
              </w:rPr>
              <w:t>吨</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highlight w:val="none"/>
                <w:lang w:val="en-US" w:eastAsia="zh-CN"/>
              </w:rPr>
              <w:t>20000</w:t>
            </w:r>
          </w:p>
        </w:tc>
        <w:tc>
          <w:tcPr>
            <w:tcW w:w="1814" w:type="dxa"/>
            <w:gridSpan w:val="2"/>
            <w:vMerge w:val="continue"/>
            <w:tcBorders>
              <w:left w:val="single" w:color="auto" w:sz="4" w:space="0"/>
              <w:right w:val="single" w:color="auto" w:sz="4" w:space="0"/>
            </w:tcBorders>
          </w:tcPr>
          <w:p>
            <w:pPr>
              <w:rPr>
                <w:rFonts w:ascii="Arial"/>
                <w:highlight w:val="none"/>
              </w:rPr>
            </w:pPr>
          </w:p>
        </w:tc>
        <w:tc>
          <w:tcPr>
            <w:tcW w:w="3517" w:type="dxa"/>
            <w:vMerge w:val="continue"/>
            <w:tcBorders>
              <w:top w:val="single" w:color="auto" w:sz="4" w:space="0"/>
              <w:left w:val="single" w:color="auto" w:sz="4" w:space="0"/>
              <w:bottom w:val="single" w:color="auto" w:sz="4" w:space="0"/>
              <w:right w:val="single" w:color="auto" w:sz="4" w:space="0"/>
            </w:tcBorders>
          </w:tcPr>
          <w:p>
            <w:pPr>
              <w:rPr>
                <w:rFonts w:ascii="Arial"/>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9" w:hRule="atLeast"/>
          <w:jc w:val="center"/>
        </w:trPr>
        <w:tc>
          <w:tcPr>
            <w:tcW w:w="785" w:type="dxa"/>
            <w:vMerge w:val="continue"/>
            <w:tcBorders>
              <w:top w:val="single" w:color="auto" w:sz="4" w:space="0"/>
              <w:left w:val="single" w:color="auto" w:sz="4" w:space="0"/>
              <w:bottom w:val="single" w:color="auto" w:sz="4" w:space="0"/>
              <w:right w:val="single" w:color="auto" w:sz="4" w:space="0"/>
            </w:tcBorders>
          </w:tcPr>
          <w:p>
            <w:pPr>
              <w:rPr>
                <w:rFonts w:ascii="Arial"/>
                <w:highlight w:val="none"/>
              </w:rPr>
            </w:pPr>
          </w:p>
        </w:tc>
        <w:tc>
          <w:tcPr>
            <w:tcW w:w="785" w:type="dxa"/>
            <w:tcBorders>
              <w:top w:val="single" w:color="auto" w:sz="4" w:space="0"/>
              <w:left w:val="single" w:color="auto" w:sz="4" w:space="0"/>
              <w:bottom w:val="single" w:color="auto" w:sz="4" w:space="0"/>
              <w:right w:val="single" w:color="auto" w:sz="4" w:space="0"/>
            </w:tcBorders>
            <w:vAlign w:val="center"/>
          </w:tcPr>
          <w:p>
            <w:pPr>
              <w:pStyle w:val="23"/>
              <w:spacing w:before="72" w:line="219" w:lineRule="auto"/>
              <w:jc w:val="center"/>
              <w:rPr>
                <w:rFonts w:hint="default" w:eastAsia="宋体"/>
                <w:sz w:val="20"/>
                <w:szCs w:val="20"/>
                <w:highlight w:val="none"/>
                <w:lang w:val="en-US" w:eastAsia="zh-CN"/>
              </w:rPr>
            </w:pPr>
            <w:r>
              <w:rPr>
                <w:rFonts w:hint="eastAsia"/>
                <w:spacing w:val="-2"/>
                <w:sz w:val="20"/>
                <w:szCs w:val="20"/>
                <w:highlight w:val="none"/>
                <w:lang w:val="en-US" w:eastAsia="zh-CN"/>
              </w:rPr>
              <w:t>吨包料</w:t>
            </w:r>
          </w:p>
        </w:tc>
        <w:tc>
          <w:tcPr>
            <w:tcW w:w="2041"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default" w:ascii="宋体" w:hAnsi="宋体" w:eastAsia="宋体" w:cs="宋体"/>
                <w:spacing w:val="-1"/>
                <w:sz w:val="20"/>
                <w:szCs w:val="20"/>
                <w:highlight w:val="none"/>
                <w:lang w:val="en-US" w:eastAsia="zh-CN"/>
              </w:rPr>
            </w:pPr>
            <w:r>
              <w:rPr>
                <w:rFonts w:hint="eastAsia" w:ascii="宋体" w:hAnsi="宋体" w:eastAsia="宋体" w:cs="宋体"/>
                <w:spacing w:val="-1"/>
                <w:sz w:val="20"/>
                <w:szCs w:val="20"/>
                <w:highlight w:val="none"/>
                <w:lang w:eastAsia="zh-CN"/>
              </w:rPr>
              <w:t>甜菜颗粒、</w:t>
            </w:r>
            <w:r>
              <w:rPr>
                <w:rFonts w:hint="eastAsia" w:ascii="宋体" w:hAnsi="宋体" w:eastAsia="宋体" w:cs="宋体"/>
                <w:spacing w:val="-1"/>
                <w:sz w:val="20"/>
                <w:szCs w:val="20"/>
                <w:highlight w:val="none"/>
                <w:lang w:val="en-US" w:eastAsia="zh-CN"/>
              </w:rPr>
              <w:t>半干啤酒糟、</w:t>
            </w:r>
            <w:r>
              <w:rPr>
                <w:rFonts w:hint="eastAsia" w:ascii="宋体" w:hAnsi="宋体" w:eastAsia="宋体" w:cs="宋体"/>
                <w:spacing w:val="-1"/>
                <w:sz w:val="20"/>
                <w:szCs w:val="20"/>
                <w:highlight w:val="none"/>
                <w:lang w:eastAsia="zh-CN"/>
              </w:rPr>
              <w:t>预混料类等</w:t>
            </w:r>
            <w:r>
              <w:rPr>
                <w:rFonts w:hint="eastAsia" w:ascii="宋体" w:hAnsi="宋体" w:eastAsia="宋体" w:cs="宋体"/>
                <w:spacing w:val="-1"/>
                <w:sz w:val="20"/>
                <w:szCs w:val="20"/>
                <w:highlight w:val="none"/>
                <w:lang w:val="en-US" w:eastAsia="zh-CN"/>
              </w:rPr>
              <w:t>大白包装原料</w:t>
            </w:r>
          </w:p>
        </w:tc>
        <w:tc>
          <w:tcPr>
            <w:tcW w:w="1064" w:type="dxa"/>
            <w:tcBorders>
              <w:top w:val="single" w:color="auto" w:sz="4" w:space="0"/>
              <w:left w:val="single" w:color="auto" w:sz="4" w:space="0"/>
              <w:bottom w:val="single" w:color="auto" w:sz="4" w:space="0"/>
              <w:right w:val="single" w:color="auto" w:sz="4" w:space="0"/>
            </w:tcBorders>
            <w:vAlign w:val="center"/>
          </w:tcPr>
          <w:p>
            <w:pPr>
              <w:pStyle w:val="23"/>
              <w:spacing w:before="71" w:line="229" w:lineRule="auto"/>
              <w:jc w:val="center"/>
              <w:rPr>
                <w:rFonts w:hint="eastAsia"/>
                <w:sz w:val="20"/>
                <w:szCs w:val="20"/>
                <w:highlight w:val="none"/>
              </w:rPr>
            </w:pPr>
            <w:r>
              <w:rPr>
                <w:sz w:val="20"/>
                <w:szCs w:val="20"/>
                <w:highlight w:val="none"/>
              </w:rPr>
              <w:t>吨</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highlight w:val="none"/>
                <w:lang w:val="en-US" w:eastAsia="zh-CN"/>
              </w:rPr>
              <w:t>1000</w:t>
            </w:r>
          </w:p>
        </w:tc>
        <w:tc>
          <w:tcPr>
            <w:tcW w:w="1814" w:type="dxa"/>
            <w:gridSpan w:val="2"/>
            <w:vMerge w:val="continue"/>
            <w:tcBorders>
              <w:left w:val="single" w:color="auto" w:sz="4" w:space="0"/>
              <w:bottom w:val="single" w:color="auto" w:sz="4" w:space="0"/>
              <w:right w:val="single" w:color="auto" w:sz="4" w:space="0"/>
            </w:tcBorders>
          </w:tcPr>
          <w:p>
            <w:pPr>
              <w:rPr>
                <w:rFonts w:ascii="Arial"/>
                <w:highlight w:val="none"/>
              </w:rPr>
            </w:pPr>
          </w:p>
        </w:tc>
        <w:tc>
          <w:tcPr>
            <w:tcW w:w="3517" w:type="dxa"/>
            <w:vMerge w:val="continue"/>
            <w:tcBorders>
              <w:top w:val="single" w:color="auto" w:sz="4" w:space="0"/>
              <w:left w:val="single" w:color="auto" w:sz="4" w:space="0"/>
              <w:bottom w:val="single" w:color="auto" w:sz="4" w:space="0"/>
              <w:right w:val="single" w:color="auto" w:sz="4" w:space="0"/>
            </w:tcBorders>
          </w:tcPr>
          <w:p>
            <w:pPr>
              <w:rPr>
                <w:rFonts w:ascii="Arial"/>
                <w:highlight w:val="none"/>
              </w:rPr>
            </w:pPr>
          </w:p>
        </w:tc>
      </w:tr>
    </w:tbl>
    <w:p>
      <w:pPr>
        <w:spacing w:line="360" w:lineRule="auto"/>
        <w:ind w:right="315" w:rightChars="150" w:firstLine="480" w:firstLineChars="20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二</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服务</w:t>
      </w:r>
      <w:r>
        <w:rPr>
          <w:rFonts w:hint="eastAsia" w:ascii="宋体" w:hAnsi="宋体"/>
          <w:color w:val="000000"/>
          <w:sz w:val="24"/>
          <w:szCs w:val="24"/>
          <w:highlight w:val="none"/>
        </w:rPr>
        <w:t>地点：陕西省渭南市大荔县韦林镇果园（原华山牧场）。</w:t>
      </w:r>
    </w:p>
    <w:p>
      <w:pPr>
        <w:spacing w:line="500" w:lineRule="exact"/>
        <w:ind w:firstLine="480" w:firstLineChars="200"/>
        <w:rPr>
          <w:rFonts w:hint="eastAsia" w:ascii="仿宋_GB2312" w:hAnsi="仿宋_GB2312" w:eastAsia="仿宋_GB2312"/>
          <w:sz w:val="28"/>
          <w:szCs w:val="28"/>
          <w:highlight w:val="none"/>
        </w:rPr>
      </w:pPr>
      <w:r>
        <w:rPr>
          <w:rFonts w:hint="eastAsia" w:ascii="宋体" w:hAnsi="宋体"/>
          <w:color w:val="000000"/>
          <w:sz w:val="24"/>
          <w:szCs w:val="24"/>
          <w:highlight w:val="none"/>
          <w:lang w:val="en-US" w:eastAsia="zh-CN"/>
        </w:rPr>
        <w:t>三</w:t>
      </w:r>
      <w:r>
        <w:rPr>
          <w:rFonts w:hint="eastAsia" w:ascii="宋体" w:hAnsi="宋体"/>
          <w:color w:val="000000"/>
          <w:sz w:val="24"/>
          <w:szCs w:val="24"/>
          <w:highlight w:val="none"/>
        </w:rPr>
        <w:t>、双方职责：</w:t>
      </w:r>
    </w:p>
    <w:p>
      <w:pPr>
        <w:spacing w:line="50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（一）甲方职责：</w:t>
      </w:r>
    </w:p>
    <w:p>
      <w:pPr>
        <w:spacing w:line="50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1、负责将场内所有卸料及倒料工作承包给乙方，并提前安排或电话通知卸料任务；</w:t>
      </w:r>
    </w:p>
    <w:p>
      <w:pPr>
        <w:spacing w:line="50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2、负责按时结算卸料及倒料费用；</w:t>
      </w:r>
    </w:p>
    <w:p>
      <w:pPr>
        <w:spacing w:line="50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3、负责指挥乙方人员按要求进行货物卸料、堆码、小料制作、库房原料转运、草料转运；</w:t>
      </w:r>
    </w:p>
    <w:p>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4、负责按甲方有关管理制度对乙方进行监督管理；</w:t>
      </w:r>
    </w:p>
    <w:p>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5、甲方应明确乙方从事劳务外包的工作岗位、工作任务和工作要求，然后由乙方自行负责其指定岗位的工作任务，乙方必须有专人负责所雇用的人员的管理工作，一切人员安全事故均由乙方100%承担。</w:t>
      </w:r>
    </w:p>
    <w:p>
      <w:pPr>
        <w:spacing w:line="50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 xml:space="preserve"> （二）乙方职责：</w:t>
      </w:r>
    </w:p>
    <w:p>
      <w:pPr>
        <w:tabs>
          <w:tab w:val="left" w:pos="2975"/>
          <w:tab w:val="left" w:pos="3400"/>
          <w:tab w:val="left" w:pos="3825"/>
          <w:tab w:val="left" w:pos="4250"/>
          <w:tab w:val="left" w:pos="6195"/>
        </w:tabs>
        <w:spacing w:line="50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w:t>
      </w:r>
      <w:r>
        <w:rPr>
          <w:rFonts w:hint="eastAsia" w:ascii="宋体" w:hAnsi="宋体" w:eastAsia="宋体" w:cs="Times New Roman"/>
          <w:sz w:val="24"/>
          <w:szCs w:val="32"/>
          <w:highlight w:val="none"/>
          <w:lang w:val="en-US" w:eastAsia="zh-CN"/>
        </w:rPr>
        <w:t>乙</w:t>
      </w:r>
      <w:r>
        <w:rPr>
          <w:rFonts w:hint="eastAsia" w:ascii="宋体" w:hAnsi="宋体" w:eastAsia="宋体" w:cs="Times New Roman"/>
          <w:sz w:val="24"/>
          <w:szCs w:val="32"/>
          <w:highlight w:val="none"/>
        </w:rPr>
        <w:t>方负责组织卸料及倒料队伍，负责员工的培训教育、安全生产管理、工资发放、劳动纪律管理和食宿管理等；</w:t>
      </w:r>
    </w:p>
    <w:p>
      <w:pPr>
        <w:tabs>
          <w:tab w:val="left" w:pos="2975"/>
          <w:tab w:val="left" w:pos="3400"/>
          <w:tab w:val="left" w:pos="3825"/>
          <w:tab w:val="left" w:pos="4250"/>
          <w:tab w:val="left" w:pos="6195"/>
        </w:tabs>
        <w:spacing w:line="50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 xml:space="preserve"> 2、严格执行甲方的有关各项管理制度，服从甲方统一管理、调度及工作安排，否则甲方有权拒绝使用；乙方员工严重违反甲方规章制度、岗位职责和劳动纪律的，须按照甲方要求清退并更换人员；</w:t>
      </w:r>
    </w:p>
    <w:p>
      <w:pPr>
        <w:tabs>
          <w:tab w:val="left" w:pos="2975"/>
          <w:tab w:val="left" w:pos="3400"/>
          <w:tab w:val="left" w:pos="3825"/>
          <w:tab w:val="left" w:pos="4250"/>
          <w:tab w:val="left" w:pos="6195"/>
        </w:tabs>
        <w:spacing w:line="50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3、爱护甲方公物、货物包装及场区设施设备，文明工作，不得擅自动用机械设备或电器设施，不得野蛮卸料、私拉乱接和违规操作；</w:t>
      </w:r>
    </w:p>
    <w:p>
      <w:pPr>
        <w:spacing w:line="500" w:lineRule="exact"/>
        <w:ind w:firstLine="480" w:firstLineChars="200"/>
        <w:rPr>
          <w:rFonts w:hint="eastAsia" w:ascii="宋体" w:hAnsi="宋体" w:eastAsiaTheme="minorEastAsia"/>
          <w:color w:val="000000"/>
          <w:sz w:val="24"/>
          <w:szCs w:val="24"/>
          <w:highlight w:val="none"/>
          <w:lang w:eastAsia="zh-CN"/>
        </w:rPr>
      </w:pPr>
      <w:r>
        <w:rPr>
          <w:rFonts w:hint="eastAsia" w:ascii="宋体" w:hAnsi="宋体"/>
          <w:color w:val="000000"/>
          <w:sz w:val="24"/>
          <w:szCs w:val="24"/>
          <w:highlight w:val="none"/>
        </w:rPr>
        <w:t>4、卸其他草料所需工具，如：车辆、卸草钩子、卸玉米小麦铁锹、卸棉籽耙子等自行解决。严格按照公司制度要求作业，卸料时需佩戴劳保设施，如迷彩服、安全帽、手套、防护口罩等安全防护设备</w:t>
      </w:r>
      <w:r>
        <w:rPr>
          <w:rFonts w:hint="eastAsia" w:ascii="宋体" w:hAnsi="宋体"/>
          <w:color w:val="000000"/>
          <w:sz w:val="24"/>
          <w:szCs w:val="24"/>
          <w:highlight w:val="none"/>
          <w:lang w:eastAsia="zh-CN"/>
        </w:rPr>
        <w:t>；</w:t>
      </w:r>
    </w:p>
    <w:p>
      <w:pPr>
        <w:spacing w:line="500" w:lineRule="exact"/>
        <w:ind w:firstLine="480" w:firstLineChars="200"/>
        <w:rPr>
          <w:rFonts w:hint="eastAsia" w:ascii="宋体" w:hAnsi="宋体" w:eastAsiaTheme="minorEastAsia"/>
          <w:color w:val="000000"/>
          <w:sz w:val="24"/>
          <w:szCs w:val="24"/>
          <w:highlight w:val="none"/>
          <w:lang w:eastAsia="zh-CN"/>
        </w:rPr>
      </w:pP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、每日对膨化大豆、双底菜粕、豆粕、有机豆饼粉、玉米蛋白粉、过瘤胃脂肪粉、食盐、石粉、阴离子盐、小苏打、奶粉等袋装原料根据需求量进行割包转运料塔上仓</w:t>
      </w:r>
      <w:r>
        <w:rPr>
          <w:rFonts w:hint="eastAsia" w:ascii="宋体" w:hAnsi="宋体"/>
          <w:color w:val="000000"/>
          <w:sz w:val="24"/>
          <w:szCs w:val="24"/>
          <w:highlight w:val="none"/>
          <w:lang w:eastAsia="zh-CN"/>
        </w:rPr>
        <w:t>；</w:t>
      </w:r>
    </w:p>
    <w:p>
      <w:pPr>
        <w:spacing w:line="500" w:lineRule="exact"/>
        <w:ind w:firstLine="480" w:firstLineChars="200"/>
        <w:rPr>
          <w:rFonts w:hint="eastAsia" w:ascii="宋体" w:hAnsi="宋体" w:eastAsiaTheme="minorEastAsia"/>
          <w:color w:val="000000"/>
          <w:sz w:val="24"/>
          <w:szCs w:val="24"/>
          <w:highlight w:val="none"/>
          <w:lang w:eastAsia="zh-CN"/>
        </w:rPr>
      </w:pPr>
      <w:r>
        <w:rPr>
          <w:rFonts w:hint="eastAsia" w:ascii="宋体" w:hAnsi="宋体"/>
          <w:color w:val="000000"/>
          <w:sz w:val="24"/>
          <w:szCs w:val="24"/>
          <w:highlight w:val="none"/>
          <w:lang w:val="en-US" w:eastAsia="zh-CN"/>
        </w:rPr>
        <w:t>6</w:t>
      </w:r>
      <w:r>
        <w:rPr>
          <w:rFonts w:hint="eastAsia" w:ascii="宋体" w:hAnsi="宋体"/>
          <w:color w:val="000000"/>
          <w:sz w:val="24"/>
          <w:szCs w:val="24"/>
          <w:highlight w:val="none"/>
        </w:rPr>
        <w:t>、每日对发酵饲料</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压片玉米、甜菜颗粒</w:t>
      </w:r>
      <w:r>
        <w:rPr>
          <w:rFonts w:hint="eastAsia" w:ascii="宋体" w:hAnsi="宋体"/>
          <w:color w:val="000000"/>
          <w:sz w:val="24"/>
          <w:szCs w:val="24"/>
          <w:highlight w:val="none"/>
        </w:rPr>
        <w:t>等</w:t>
      </w:r>
      <w:r>
        <w:rPr>
          <w:rFonts w:hint="eastAsia" w:ascii="宋体" w:hAnsi="宋体"/>
          <w:color w:val="000000"/>
          <w:sz w:val="24"/>
          <w:szCs w:val="24"/>
          <w:highlight w:val="none"/>
          <w:lang w:val="en-US" w:eastAsia="zh-CN"/>
        </w:rPr>
        <w:t>物</w:t>
      </w:r>
      <w:r>
        <w:rPr>
          <w:rFonts w:hint="eastAsia" w:ascii="宋体" w:hAnsi="宋体"/>
          <w:color w:val="000000"/>
          <w:sz w:val="24"/>
          <w:szCs w:val="24"/>
          <w:highlight w:val="none"/>
        </w:rPr>
        <w:t>料、精料根据需求量进行割包转运至加工区库房及其他区域</w:t>
      </w:r>
      <w:r>
        <w:rPr>
          <w:rFonts w:hint="eastAsia" w:ascii="宋体" w:hAnsi="宋体"/>
          <w:color w:val="000000"/>
          <w:sz w:val="24"/>
          <w:szCs w:val="24"/>
          <w:highlight w:val="none"/>
          <w:lang w:eastAsia="zh-CN"/>
        </w:rPr>
        <w:t>；</w:t>
      </w:r>
    </w:p>
    <w:p>
      <w:pPr>
        <w:spacing w:line="500" w:lineRule="exact"/>
        <w:ind w:firstLine="480" w:firstLineChars="200"/>
        <w:rPr>
          <w:rFonts w:hint="eastAsia" w:ascii="宋体" w:hAnsi="宋体" w:eastAsiaTheme="minorEastAsia"/>
          <w:color w:val="000000"/>
          <w:sz w:val="24"/>
          <w:szCs w:val="24"/>
          <w:highlight w:val="none"/>
          <w:lang w:eastAsia="zh-CN"/>
        </w:rPr>
      </w:pP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、每日根据实际需求量及小料制作单配方制作后备（4-6月龄、7-13月龄、13-围产前）、干奶、围产、新产、高一、高一中后期、高二、低产等牛群小料</w:t>
      </w:r>
      <w:r>
        <w:rPr>
          <w:rFonts w:hint="eastAsia" w:ascii="宋体" w:hAnsi="宋体"/>
          <w:color w:val="000000"/>
          <w:sz w:val="24"/>
          <w:szCs w:val="24"/>
          <w:highlight w:val="none"/>
          <w:lang w:eastAsia="zh-CN"/>
        </w:rPr>
        <w:t>；</w:t>
      </w:r>
    </w:p>
    <w:p>
      <w:pPr>
        <w:spacing w:line="500" w:lineRule="exact"/>
        <w:ind w:firstLine="480" w:firstLineChars="200"/>
        <w:rPr>
          <w:rFonts w:hint="eastAsia" w:ascii="宋体" w:hAnsi="宋体" w:eastAsiaTheme="minorEastAsia"/>
          <w:color w:val="000000"/>
          <w:sz w:val="24"/>
          <w:szCs w:val="24"/>
          <w:highlight w:val="none"/>
          <w:lang w:eastAsia="zh-CN"/>
        </w:rPr>
      </w:pPr>
      <w:r>
        <w:rPr>
          <w:rFonts w:hint="eastAsia" w:ascii="宋体" w:hAnsi="宋体"/>
          <w:color w:val="000000"/>
          <w:sz w:val="24"/>
          <w:szCs w:val="24"/>
          <w:highlight w:val="none"/>
          <w:lang w:val="en-US" w:eastAsia="zh-CN"/>
        </w:rPr>
        <w:t>8</w:t>
      </w:r>
      <w:r>
        <w:rPr>
          <w:rFonts w:hint="eastAsia" w:ascii="宋体" w:hAnsi="宋体"/>
          <w:color w:val="000000"/>
          <w:sz w:val="24"/>
          <w:szCs w:val="24"/>
          <w:highlight w:val="none"/>
        </w:rPr>
        <w:t>、每日对料塔设施设备进行维护保养及除尘工作并记录</w:t>
      </w:r>
      <w:r>
        <w:rPr>
          <w:rFonts w:hint="eastAsia" w:ascii="宋体" w:hAnsi="宋体"/>
          <w:color w:val="000000"/>
          <w:sz w:val="24"/>
          <w:szCs w:val="24"/>
          <w:highlight w:val="none"/>
          <w:lang w:eastAsia="zh-CN"/>
        </w:rPr>
        <w:t>；</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9</w:t>
      </w:r>
      <w:r>
        <w:rPr>
          <w:rFonts w:hint="eastAsia" w:ascii="宋体" w:hAnsi="宋体"/>
          <w:color w:val="000000"/>
          <w:sz w:val="24"/>
          <w:szCs w:val="24"/>
          <w:highlight w:val="none"/>
        </w:rPr>
        <w:t>、每日转料后对相关区域进行卫生清洁，每周按要求对相关划分责任区域卫生</w:t>
      </w:r>
      <w:r>
        <w:rPr>
          <w:rFonts w:hint="eastAsia" w:ascii="宋体" w:hAnsi="宋体"/>
          <w:color w:val="000000"/>
          <w:sz w:val="24"/>
          <w:szCs w:val="24"/>
          <w:highlight w:val="none"/>
          <w:lang w:val="en-US" w:eastAsia="zh-CN"/>
        </w:rPr>
        <w:t>进行清扫并拍照；</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10、袋装类的饲料卸货由人工进行；禁止使用破坏包装的方式卸货；按照要求分类分批次分状态堆放，堆码高度不超10层，托高不超2托，柱距大于10cm，草库堆放距离墙大于1米，未按照要求堆放每次扣100元；</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11、保证司机都具有相应的车辆操作证、驾驶证，应在本合同执行日将操作人员的驾驶证复印件拿到安全环保部做备案；操作叉车人员需具有叉车特种设备操作证，不得由其他人员进行操作，同一辆叉车不允许两人或两人以上乘坐。</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12、乙方负责给甲方卸所有入库的饲草料，在卸货过程中乙方必须对所卸货物质量进行监督，发现问题及时与饲草料主管沟通，如发现问题未及时反馈导致不合格饲草料卸货入库的；</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13、乙方需依据甲方的生产要求进行人员数量或者人员上下班时间的调整；乙方有义务对司机进行安全教育，人员在工作期间或上下班途中所发生的一切安全事故均由承包方自行承担，牧场概不承担任何责任；如因乙方司机违反交通规则造成甲方损失，造成的一切损失均由乙方负责；</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14、乙方须保证车辆的完好性，包括车内外卫生，车辆的灯具设施，制动设施；</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15、乙方员工违反操作规程，或者没有按照甲方的工作要求执行的，造成所负责的工作不能正常运行，或不能保证工作质量及数量，给甲方造成工作滞后或者损失的；</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16、发现装卸工在卸货过程中向司机索要钱物的，当日装卸费用全部扣除，同时甲方有权要求乙方更换该外包人员；</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17、各种物料根据储存条件及物品摆放区域及批次进行摆放，并留有消防通道；</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18、乙方必须配合甲方库房管理人员做好“四防”工作(即防火、防鼠、防潮、防盗),不得出现因乙方原因造成库房物料破损或由于防护不到位造成被雨淋、污染等；</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19、乙方必须保证合理安排装卸时间，不可以出现由于乙方原因导致压车被司机投诉等现象；</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20、乙方必须及时完成各种物料的装卸、备料工作，如有特殊原因不能及时完成时，向库管说明原因，不可与司机发生冲突；</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21、乙方需确保其人员不得在上班期间玩游戏、闲聊、睡觉、做与工作无关的事或无故离开工作岗位；</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22、乙方人员必须保证各类单据的准确及时上交到甲方保管处；</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23、乙方在装、卸货以及搬运物品时要防止被污染、腐蚀、碰坏划伤等现象发生，对特殊物资进行装、卸车时必须依据实际情况进行调整，以确保物资及人员在卸货时不受到损伤，造成一切损失由乙方承担；</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24、乙方必须积极配合甲方工作，不允许闲杂人员随便出入库房，如由于乙方原因发生物料丢失，乙方按原价赔偿，如发现乙方员工倒卖甲方财物，乙方按物料的十倍价格赔偿并追究其法律责任；</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25、乙方要节约甲方提供的辅料，不允许出现浪费相关成本现象；</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26、人员不得携带非本人物品出场，并自觉接受牧场保安人员检查；</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27、</w:t>
      </w:r>
      <w:r>
        <w:rPr>
          <w:rFonts w:hint="eastAsia" w:asciiTheme="majorEastAsia" w:hAnsiTheme="majorEastAsia" w:eastAsiaTheme="majorEastAsia" w:cstheme="majorEastAsia"/>
          <w:spacing w:val="9"/>
          <w:kern w:val="2"/>
          <w:sz w:val="24"/>
          <w:szCs w:val="24"/>
          <w:highlight w:val="none"/>
          <w:lang w:val="en-US" w:eastAsia="zh-CN" w:bidi="ar-SA"/>
        </w:rPr>
        <w:t>承包方员工进场前需提供健康证明及身份证明，不能提供真实有效的健康证明、身份证明的，或提供虚假的健康证明、身份证明的，不得进场</w:t>
      </w:r>
      <w:r>
        <w:rPr>
          <w:rFonts w:hint="eastAsia" w:ascii="宋体" w:hAnsi="宋体"/>
          <w:color w:val="000000"/>
          <w:sz w:val="24"/>
          <w:szCs w:val="24"/>
          <w:highlight w:val="none"/>
          <w:lang w:val="en-US" w:eastAsia="zh-CN"/>
        </w:rPr>
        <w:t>；</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28、乙方人员泄漏甲方相关数据或者人员资料，造成甲方相关人员或者生产受到影响的；或者外传对甲方经济利益不利的相关传言及胡编乱造的，造成的一切损失均由乙方负责。</w:t>
      </w:r>
    </w:p>
    <w:p>
      <w:pPr>
        <w:tabs>
          <w:tab w:val="left" w:pos="2975"/>
          <w:tab w:val="left" w:pos="3400"/>
          <w:tab w:val="left" w:pos="3825"/>
          <w:tab w:val="left" w:pos="4250"/>
          <w:tab w:val="left" w:pos="6195"/>
        </w:tabs>
        <w:spacing w:line="360" w:lineRule="auto"/>
        <w:ind w:firstLine="516" w:firstLineChars="200"/>
        <w:rPr>
          <w:rFonts w:hint="default" w:asciiTheme="majorEastAsia" w:hAnsiTheme="majorEastAsia" w:eastAsiaTheme="majorEastAsia" w:cstheme="majorEastAsia"/>
          <w:spacing w:val="9"/>
          <w:kern w:val="2"/>
          <w:sz w:val="24"/>
          <w:szCs w:val="24"/>
          <w:highlight w:val="none"/>
          <w:lang w:val="en-US" w:eastAsia="zh-CN" w:bidi="ar-SA"/>
        </w:rPr>
      </w:pPr>
      <w:r>
        <w:rPr>
          <w:rFonts w:hint="eastAsia" w:asciiTheme="majorEastAsia" w:hAnsiTheme="majorEastAsia" w:eastAsiaTheme="majorEastAsia" w:cstheme="majorEastAsia"/>
          <w:spacing w:val="9"/>
          <w:kern w:val="2"/>
          <w:sz w:val="24"/>
          <w:szCs w:val="24"/>
          <w:highlight w:val="none"/>
          <w:lang w:val="en-US" w:eastAsia="zh-CN" w:bidi="ar-SA"/>
        </w:rPr>
        <w:t>29、乙方使用甲方提升机、车辆等设备过程中发生的意外事故均由乙方承担；</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30、乙方进场前需为所雇佣人员缴纳100万及以上保额人员意外险，保单交安全环保部进行备案。</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31、乙方需按时支付其员工的工资，如因乙方未按时结算工资因此产生的劳动纠纷与甲方无关。</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32、外包方进入牧场服务人员需要提供一周之内的布病检测阴性报告，未提供报告或检测结果为阳性者不得入场。</w:t>
      </w:r>
    </w:p>
    <w:p>
      <w:pPr>
        <w:tabs>
          <w:tab w:val="left" w:pos="2975"/>
          <w:tab w:val="left" w:pos="3400"/>
          <w:tab w:val="left" w:pos="3825"/>
          <w:tab w:val="left" w:pos="4250"/>
          <w:tab w:val="left" w:pos="6195"/>
        </w:tabs>
        <w:spacing w:line="500" w:lineRule="exact"/>
        <w:ind w:firstLine="480" w:firstLineChars="200"/>
        <w:rPr>
          <w:rFonts w:hint="eastAsia" w:ascii="宋体" w:hAnsi="宋体" w:eastAsia="宋体" w:cs="Times New Roman"/>
          <w:sz w:val="24"/>
          <w:szCs w:val="32"/>
          <w:highlight w:val="none"/>
        </w:rPr>
      </w:pPr>
      <w:r>
        <w:rPr>
          <w:rFonts w:hint="eastAsia" w:ascii="宋体" w:hAnsi="宋体" w:eastAsia="宋体" w:cs="Times New Roman"/>
          <w:sz w:val="24"/>
          <w:szCs w:val="32"/>
          <w:highlight w:val="none"/>
          <w:lang w:val="en-US" w:eastAsia="zh-CN"/>
        </w:rPr>
        <w:t>四</w:t>
      </w:r>
      <w:r>
        <w:rPr>
          <w:rFonts w:hint="eastAsia" w:ascii="宋体" w:hAnsi="宋体" w:eastAsia="宋体" w:cs="Times New Roman"/>
          <w:sz w:val="24"/>
          <w:szCs w:val="32"/>
          <w:highlight w:val="none"/>
        </w:rPr>
        <w:t>、考核标准：</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乙方人员必须遵守甲方的场规场纪、日常规章及防疫制度，如所雇用人员出现安全及防疫事故，每出现一次承包方应向牧场承担违约金500元/次；乙方员工严重违反甲方规章制度、岗位职责和劳动纪律的，须按照牧场要求清退并更换人员；</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2、及时清扫工作现场及卸货过程中散漏的物资。如未按照牧场要求，每次扣200元；根据天气变化，听从库管安排，及时遮盖和晾晒饲草料。如未按照甲方要求作业，每次扣200元；</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3、乙方车辆和人员进入生产区，不准携带烟火或易燃物品，不准在场内吸烟(车内发现烟头视为抽烟),不得酒后入场或酒后驾驶车辆，不得出现在场区内随地大小便等影响甲方形象的现象，如有违反，乙方应向甲方承担违约金200-500元/次，如发现2次以上现象，甲方有权解除合同；</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4、乙方必须按照甲方要求的时间进行卸料，不得找借口或理由不到场；乙方拒接电话或者接到库管通知后在承诺时间内未到公司，每次扣200元；</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5、乙方负责根据甲方的实际生产需求进行倒料和备料工作，饲草料拉运到加工区必须及时将石头、塑料绳等杂物挑出，搅料后发现杂物的每出现一个乙方应向甲方承担违约金50元/个，加工区反馈饲料里有草绳、轮胎、编织袋的乙方应向甲方承担违约金100元/次；</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6、乙方负责按照甲方的要求，各种饲料根据储存条件及物品摆放区域及批次进行摆放，并留有消防通道。未按要求摆放的，要求在一小时内立即整改，如未整改给予乙方500元/次的处罚；</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7、乙方不得出现故意刁难供应商的现象；出现的乙方应向甲方承担违约金1000元/次；发现装卸工在卸货过程中向司机索要钱物的，当日装卸费用全部扣除，同时甲方有权要求乙方更换该外包人员；</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8、乙方人员必须遵循甲方饲草料“先进先出”原则对原料进行倒料工作，未按”先进先出”原则进行工作，乙方应向甲方承担违约金100元/次，该笔违约金从当月劳务费用中扣除；</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9、乙方在车辆无法运转工作时要及时协调车辆，保障加工区的正常用料工作；如因车辆发生故障或损坏影响牧场正常饲喂工作及运行乙方应向甲方承担违约金1000元；</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10、乙方员工违反操作规程，或者没有按照甲方的工作要求执行的，造成所负责的工作不能正常运行，或不能保证工作质量及数量，给甲方造成工作滞后或者损失的；根据以上实际情况向牧场承担50-5000元违约金/次；</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11、进入生产区的车辆和人员必须消毒，消毒后方可进入，未经消毒不可进入场区及生产区，如有违反，一经发现乙方应向甲方承担违约金500元/次，如有第二次加倍考核，同时甲方有权终止合同；</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12、乙方人员出现盗窃行为的，每出现一次乙方应向甲方承担违约金2000元，情节严重者交由甲方所在地派出所进行处理；</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13、乙方人员不得损坏甲方财产，如道路牙、场内其他建筑物，如有损坏按照原价赔偿且乙方应向甲方承担违约金500元/次；</w:t>
      </w:r>
    </w:p>
    <w:p>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14、乙方需为工作人员缴纳100万及以上保额人员意外险，保单交甲方安全环保部进行备案；</w:t>
      </w:r>
    </w:p>
    <w:p>
      <w:pPr>
        <w:spacing w:line="360" w:lineRule="auto"/>
        <w:ind w:firstLine="480" w:firstLineChars="200"/>
        <w:rPr>
          <w:rFonts w:hint="eastAsia" w:eastAsiaTheme="minorEastAsia"/>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15、以上考核</w:t>
      </w:r>
      <w:r>
        <w:rPr>
          <w:rFonts w:hint="eastAsia" w:asciiTheme="majorEastAsia" w:hAnsiTheme="majorEastAsia" w:eastAsiaTheme="majorEastAsia" w:cstheme="majorEastAsia"/>
          <w:spacing w:val="7"/>
          <w:sz w:val="24"/>
          <w:szCs w:val="24"/>
          <w:highlight w:val="none"/>
        </w:rPr>
        <w:t>金额</w:t>
      </w:r>
      <w:r>
        <w:rPr>
          <w:rFonts w:hint="eastAsia" w:asciiTheme="majorEastAsia" w:hAnsiTheme="majorEastAsia" w:eastAsiaTheme="majorEastAsia" w:cstheme="majorEastAsia"/>
          <w:spacing w:val="7"/>
          <w:sz w:val="24"/>
          <w:szCs w:val="24"/>
          <w:highlight w:val="none"/>
          <w:lang w:val="en-US" w:eastAsia="zh-CN"/>
        </w:rPr>
        <w:t>均</w:t>
      </w:r>
      <w:r>
        <w:rPr>
          <w:rFonts w:hint="eastAsia" w:asciiTheme="majorEastAsia" w:hAnsiTheme="majorEastAsia" w:eastAsiaTheme="majorEastAsia" w:cstheme="majorEastAsia"/>
          <w:spacing w:val="7"/>
          <w:sz w:val="24"/>
          <w:szCs w:val="24"/>
          <w:highlight w:val="none"/>
        </w:rPr>
        <w:t>从当月劳务费用中扣</w:t>
      </w:r>
      <w:r>
        <w:rPr>
          <w:rFonts w:hint="eastAsia" w:asciiTheme="majorEastAsia" w:hAnsiTheme="majorEastAsia" w:eastAsiaTheme="majorEastAsia" w:cstheme="majorEastAsia"/>
          <w:spacing w:val="6"/>
          <w:sz w:val="24"/>
          <w:szCs w:val="24"/>
          <w:highlight w:val="none"/>
        </w:rPr>
        <w:t>除</w:t>
      </w:r>
      <w:r>
        <w:rPr>
          <w:rFonts w:hint="eastAsia" w:asciiTheme="majorEastAsia" w:hAnsiTheme="majorEastAsia" w:eastAsiaTheme="majorEastAsia" w:cstheme="majorEastAsia"/>
          <w:spacing w:val="6"/>
          <w:sz w:val="24"/>
          <w:szCs w:val="24"/>
          <w:highlight w:val="none"/>
          <w:lang w:eastAsia="zh-CN"/>
        </w:rPr>
        <w:t>。</w:t>
      </w:r>
    </w:p>
    <w:p>
      <w:pPr>
        <w:spacing w:line="360" w:lineRule="auto"/>
        <w:ind w:right="315" w:rightChars="150" w:firstLine="480" w:firstLineChars="20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五</w:t>
      </w:r>
      <w:r>
        <w:rPr>
          <w:rFonts w:hint="eastAsia" w:ascii="宋体" w:hAnsi="宋体"/>
          <w:color w:val="000000"/>
          <w:sz w:val="24"/>
          <w:szCs w:val="24"/>
          <w:highlight w:val="none"/>
        </w:rPr>
        <w:t>、承包期限:</w:t>
      </w:r>
      <w:r>
        <w:rPr>
          <w:rFonts w:hint="eastAsia" w:ascii="宋体" w:hAnsi="宋体"/>
          <w:sz w:val="24"/>
          <w:szCs w:val="24"/>
          <w:highlight w:val="none"/>
        </w:rPr>
        <w:t>合同生效后1年</w:t>
      </w:r>
      <w:r>
        <w:rPr>
          <w:rFonts w:hint="eastAsia" w:ascii="宋体" w:hAnsi="宋体"/>
          <w:color w:val="000000"/>
          <w:sz w:val="24"/>
          <w:szCs w:val="24"/>
          <w:highlight w:val="none"/>
        </w:rPr>
        <w:t>。</w:t>
      </w:r>
    </w:p>
    <w:p>
      <w:pPr>
        <w:tabs>
          <w:tab w:val="left" w:pos="420"/>
        </w:tabs>
        <w:spacing w:line="500" w:lineRule="exact"/>
        <w:ind w:firstLine="480" w:firstLineChars="200"/>
        <w:rPr>
          <w:rFonts w:hint="eastAsia" w:ascii="宋体" w:hAnsi="宋体" w:cs="宋体"/>
          <w:color w:val="000000"/>
          <w:sz w:val="24"/>
          <w:highlight w:val="none"/>
        </w:rPr>
      </w:pPr>
      <w:r>
        <w:rPr>
          <w:rFonts w:hint="eastAsia" w:ascii="宋体" w:hAnsi="宋体"/>
          <w:color w:val="000000"/>
          <w:sz w:val="24"/>
          <w:szCs w:val="24"/>
          <w:highlight w:val="none"/>
          <w:lang w:val="en-US" w:eastAsia="zh-CN"/>
        </w:rPr>
        <w:t>六</w:t>
      </w:r>
      <w:r>
        <w:rPr>
          <w:rFonts w:hint="eastAsia" w:ascii="宋体" w:hAnsi="宋体"/>
          <w:color w:val="000000"/>
          <w:sz w:val="24"/>
          <w:szCs w:val="24"/>
          <w:highlight w:val="none"/>
        </w:rPr>
        <w:t>、付款方式：</w:t>
      </w:r>
    </w:p>
    <w:p>
      <w:pPr>
        <w:tabs>
          <w:tab w:val="left" w:pos="420"/>
        </w:tabs>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1、履约保证金收取金额为年中标金额的5%；履约保证金由乙方在收到中标通知书之后签订合同之前交于甲方；</w:t>
      </w:r>
      <w:r>
        <w:rPr>
          <w:rFonts w:hint="eastAsia" w:ascii="宋体" w:hAnsi="宋体" w:eastAsia="宋体" w:cs="宋体"/>
          <w:sz w:val="24"/>
          <w:szCs w:val="24"/>
          <w:highlight w:val="none"/>
        </w:rPr>
        <w:t>合同执行完后，期间无违约情况发生，甲方一次性无息退还履约保证金</w:t>
      </w:r>
      <w:r>
        <w:rPr>
          <w:rFonts w:hint="eastAsia" w:ascii="宋体" w:hAnsi="宋体" w:eastAsia="宋体" w:cs="宋体"/>
          <w:sz w:val="24"/>
          <w:szCs w:val="24"/>
          <w:highlight w:val="none"/>
          <w:lang w:eastAsia="zh-CN"/>
        </w:rPr>
        <w:t>。</w:t>
      </w:r>
    </w:p>
    <w:p>
      <w:pPr>
        <w:tabs>
          <w:tab w:val="left" w:pos="420"/>
        </w:tabs>
        <w:spacing w:line="500" w:lineRule="exact"/>
        <w:ind w:firstLine="480" w:firstLineChars="200"/>
        <w:rPr>
          <w:rFonts w:hint="eastAsia" w:ascii="宋体" w:hAnsi="宋体" w:eastAsia="宋体" w:cs="宋体"/>
          <w:sz w:val="24"/>
          <w:szCs w:val="24"/>
          <w:highlight w:val="none"/>
        </w:rPr>
      </w:pPr>
      <w:r>
        <w:rPr>
          <w:rFonts w:hint="eastAsia" w:asciiTheme="majorEastAsia" w:hAnsiTheme="majorEastAsia" w:eastAsiaTheme="majorEastAsia" w:cstheme="majorEastAsia"/>
          <w:kern w:val="0"/>
          <w:sz w:val="24"/>
          <w:szCs w:val="24"/>
          <w:highlight w:val="none"/>
          <w:lang w:val="en-US" w:eastAsia="zh-CN"/>
        </w:rPr>
        <w:t>2、</w:t>
      </w:r>
      <w:r>
        <w:rPr>
          <w:rFonts w:hint="eastAsia" w:ascii="宋体" w:hAnsi="宋体" w:eastAsia="宋体" w:cs="宋体"/>
          <w:sz w:val="24"/>
          <w:szCs w:val="24"/>
          <w:highlight w:val="none"/>
        </w:rPr>
        <w:t>实行月结，即按每月截止月底</w:t>
      </w:r>
      <w:r>
        <w:rPr>
          <w:rFonts w:hint="eastAsia" w:ascii="宋体" w:hAnsi="宋体" w:eastAsia="宋体" w:cs="宋体"/>
          <w:sz w:val="24"/>
          <w:szCs w:val="24"/>
          <w:highlight w:val="none"/>
          <w:lang w:val="en-US" w:eastAsia="zh-CN"/>
        </w:rPr>
        <w:t>最后一天</w:t>
      </w:r>
      <w:r>
        <w:rPr>
          <w:rFonts w:hint="eastAsia" w:ascii="宋体" w:hAnsi="宋体" w:eastAsia="宋体" w:cs="宋体"/>
          <w:sz w:val="24"/>
          <w:szCs w:val="24"/>
          <w:highlight w:val="none"/>
        </w:rPr>
        <w:t>的实际</w:t>
      </w:r>
      <w:r>
        <w:rPr>
          <w:rFonts w:hint="eastAsia" w:ascii="宋体" w:hAnsi="宋体" w:eastAsia="宋体" w:cs="宋体"/>
          <w:sz w:val="24"/>
          <w:szCs w:val="24"/>
          <w:highlight w:val="none"/>
          <w:lang w:val="en-US" w:eastAsia="zh-CN"/>
        </w:rPr>
        <w:t>使用原料数</w:t>
      </w:r>
      <w:r>
        <w:rPr>
          <w:rFonts w:hint="eastAsia" w:ascii="宋体" w:hAnsi="宋体" w:eastAsia="宋体" w:cs="宋体"/>
          <w:sz w:val="24"/>
          <w:szCs w:val="24"/>
          <w:highlight w:val="none"/>
        </w:rPr>
        <w:t>量进行结算，收到发票后10个工作日内支付。</w:t>
      </w:r>
    </w:p>
    <w:p>
      <w:pPr>
        <w:tabs>
          <w:tab w:val="left" w:pos="420"/>
        </w:tabs>
        <w:spacing w:line="500" w:lineRule="exact"/>
        <w:ind w:firstLine="480" w:firstLineChars="200"/>
        <w:rPr>
          <w:rFonts w:hint="eastAsia" w:ascii="宋体" w:hAnsi="宋体" w:cs="宋体"/>
          <w:color w:val="000000"/>
          <w:sz w:val="24"/>
          <w:highlight w:val="none"/>
        </w:rPr>
      </w:pPr>
      <w:r>
        <w:rPr>
          <w:rFonts w:hint="eastAsia" w:ascii="宋体" w:hAnsi="宋体"/>
          <w:color w:val="000000"/>
          <w:sz w:val="24"/>
          <w:szCs w:val="24"/>
          <w:highlight w:val="none"/>
          <w:lang w:val="en-US" w:eastAsia="zh-CN"/>
        </w:rPr>
        <w:t>七</w:t>
      </w:r>
      <w:r>
        <w:rPr>
          <w:rFonts w:hint="eastAsia" w:ascii="宋体" w:hAnsi="宋体"/>
          <w:color w:val="000000"/>
          <w:sz w:val="24"/>
          <w:szCs w:val="24"/>
          <w:highlight w:val="none"/>
        </w:rPr>
        <w:t>、</w:t>
      </w:r>
      <w:r>
        <w:rPr>
          <w:rFonts w:hint="eastAsia" w:ascii="宋体" w:hAnsi="宋体" w:cs="宋体"/>
          <w:color w:val="000000"/>
          <w:sz w:val="24"/>
          <w:highlight w:val="none"/>
        </w:rPr>
        <w:t>违约责任：</w:t>
      </w:r>
    </w:p>
    <w:p>
      <w:pPr>
        <w:spacing w:line="48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1.甲乙双方任何一方擅自违反本合同的约定均视为违约，违约方应向守约方支付5万元人民币违约金。</w:t>
      </w:r>
    </w:p>
    <w:p>
      <w:pPr>
        <w:spacing w:line="48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2、本合同未尽事宜，甲方乙方应友好协商解决，如协商不成，双方约定在甲方所在地人民法院诉讼解决。</w:t>
      </w:r>
    </w:p>
    <w:p>
      <w:pPr>
        <w:spacing w:line="480" w:lineRule="exact"/>
        <w:ind w:firstLine="480" w:firstLineChars="200"/>
        <w:jc w:val="left"/>
        <w:rPr>
          <w:rFonts w:hint="eastAsia" w:ascii="宋体" w:hAnsi="宋体"/>
          <w:b/>
          <w:sz w:val="32"/>
          <w:szCs w:val="32"/>
          <w:highlight w:val="none"/>
        </w:rPr>
      </w:pPr>
      <w:r>
        <w:rPr>
          <w:rFonts w:hint="eastAsia" w:ascii="宋体" w:hAnsi="宋体" w:cs="宋体"/>
          <w:color w:val="000000"/>
          <w:sz w:val="24"/>
          <w:highlight w:val="none"/>
        </w:rPr>
        <w:t>3、本合同一式二份，甲、乙双方各执一份，经甲、乙双方签字盖章后生效，具有同等法律效力。</w:t>
      </w:r>
    </w:p>
    <w:p>
      <w:pPr>
        <w:spacing w:line="360" w:lineRule="auto"/>
        <w:jc w:val="center"/>
        <w:outlineLvl w:val="0"/>
        <w:rPr>
          <w:rFonts w:hint="eastAsia" w:ascii="Times New Roman" w:hAnsi="宋体" w:eastAsia="宋体" w:cs="Times New Roman"/>
          <w:b/>
          <w:bCs/>
          <w:sz w:val="32"/>
          <w:szCs w:val="20"/>
          <w:highlight w:val="none"/>
        </w:rPr>
      </w:pPr>
    </w:p>
    <w:p>
      <w:pPr>
        <w:spacing w:line="360" w:lineRule="auto"/>
        <w:jc w:val="center"/>
        <w:outlineLvl w:val="0"/>
        <w:rPr>
          <w:rFonts w:hint="eastAsia" w:ascii="Times New Roman" w:hAnsi="宋体" w:eastAsia="宋体" w:cs="Times New Roman"/>
          <w:b/>
          <w:bCs/>
          <w:sz w:val="44"/>
          <w:szCs w:val="44"/>
          <w:highlight w:val="none"/>
        </w:rPr>
      </w:pPr>
    </w:p>
    <w:p>
      <w:pPr>
        <w:rPr>
          <w:rFonts w:hint="eastAsia" w:ascii="Times New Roman" w:hAnsi="宋体" w:eastAsia="宋体" w:cs="Times New Roman"/>
          <w:b/>
          <w:bCs/>
          <w:sz w:val="44"/>
          <w:szCs w:val="44"/>
          <w:highlight w:val="none"/>
        </w:rPr>
      </w:pPr>
      <w:r>
        <w:rPr>
          <w:rFonts w:hint="eastAsia" w:ascii="Times New Roman" w:hAnsi="宋体" w:eastAsia="宋体" w:cs="Times New Roman"/>
          <w:b/>
          <w:bCs/>
          <w:sz w:val="44"/>
          <w:szCs w:val="44"/>
          <w:highlight w:val="none"/>
        </w:rPr>
        <w:br w:type="page"/>
      </w:r>
    </w:p>
    <w:p>
      <w:pPr>
        <w:spacing w:line="360" w:lineRule="auto"/>
        <w:jc w:val="center"/>
        <w:outlineLvl w:val="0"/>
        <w:rPr>
          <w:rFonts w:hint="eastAsia" w:ascii="Times New Roman" w:hAnsi="宋体" w:eastAsia="宋体" w:cs="Times New Roman"/>
          <w:b/>
          <w:bCs/>
          <w:sz w:val="44"/>
          <w:szCs w:val="44"/>
          <w:highlight w:val="none"/>
        </w:rPr>
      </w:pPr>
      <w:r>
        <w:rPr>
          <w:rFonts w:hint="eastAsia" w:ascii="Times New Roman" w:hAnsi="宋体" w:eastAsia="宋体" w:cs="Times New Roman"/>
          <w:b/>
          <w:bCs/>
          <w:sz w:val="44"/>
          <w:szCs w:val="44"/>
          <w:highlight w:val="none"/>
        </w:rPr>
        <w:t>第五部分：阳光协议</w:t>
      </w:r>
    </w:p>
    <w:p>
      <w:pPr>
        <w:pStyle w:val="7"/>
        <w:rPr>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甲方:</w:t>
      </w:r>
      <w:r>
        <w:rPr>
          <w:rFonts w:hint="eastAsia" w:ascii="Times New Roman" w:hAnsi="Times New Roman" w:eastAsia="方正仿宋_GBK" w:cs="Times New Roman"/>
          <w:color w:val="auto"/>
          <w:sz w:val="24"/>
          <w:szCs w:val="24"/>
          <w:highlight w:val="none"/>
          <w:lang w:val="en-US" w:eastAsia="zh-CN"/>
        </w:rPr>
        <w:t>中垦牧（陕西）牧业有限公司</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乙方: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鉴于:甲方通过</w:t>
      </w:r>
      <w:r>
        <w:rPr>
          <w:rFonts w:hint="eastAsia" w:ascii="Times New Roman" w:hAnsi="Times New Roman" w:eastAsia="方正仿宋_GBK" w:cs="Times New Roman"/>
          <w:color w:val="auto"/>
          <w:sz w:val="24"/>
          <w:szCs w:val="24"/>
          <w:highlight w:val="none"/>
          <w:lang w:val="en-US" w:eastAsia="zh-CN"/>
        </w:rPr>
        <w:t>竞争性比选</w:t>
      </w:r>
      <w:r>
        <w:rPr>
          <w:rFonts w:hint="default" w:ascii="Times New Roman" w:hAnsi="Times New Roman" w:eastAsia="方正仿宋_GBK" w:cs="Times New Roman"/>
          <w:color w:val="auto"/>
          <w:sz w:val="24"/>
          <w:szCs w:val="24"/>
          <w:highlight w:val="none"/>
        </w:rPr>
        <w:t>方式选定乙方为</w:t>
      </w:r>
      <w:r>
        <w:rPr>
          <w:rFonts w:hint="eastAsia" w:ascii="Times New Roman" w:hAnsi="Times New Roman" w:eastAsia="方正仿宋_GBK" w:cs="Times New Roman"/>
          <w:color w:val="auto"/>
          <w:sz w:val="24"/>
          <w:szCs w:val="24"/>
          <w:highlight w:val="none"/>
          <w:lang w:val="en-US" w:eastAsia="zh-CN"/>
        </w:rPr>
        <w:t>大荔牧场</w:t>
      </w:r>
      <w:r>
        <w:rPr>
          <w:rFonts w:hint="eastAsia" w:ascii="Times New Roman" w:hAnsi="Times New Roman" w:eastAsia="方正仿宋_GBK" w:cs="Times New Roman"/>
          <w:color w:val="auto"/>
          <w:sz w:val="24"/>
          <w:szCs w:val="24"/>
          <w:highlight w:val="none"/>
        </w:rPr>
        <w:t>卸料及倒料劳务外包</w:t>
      </w:r>
      <w:r>
        <w:rPr>
          <w:rFonts w:hint="eastAsia" w:ascii="Times New Roman" w:hAnsi="Times New Roman" w:eastAsia="方正仿宋_GBK" w:cs="Times New Roman"/>
          <w:color w:val="auto"/>
          <w:sz w:val="24"/>
          <w:szCs w:val="24"/>
          <w:highlight w:val="none"/>
          <w:lang w:val="en-US" w:eastAsia="zh-CN"/>
        </w:rPr>
        <w:t>项目</w:t>
      </w:r>
      <w:r>
        <w:rPr>
          <w:rFonts w:hint="default" w:ascii="Times New Roman" w:hAnsi="Times New Roman" w:eastAsia="方正仿宋_GBK" w:cs="Times New Roman"/>
          <w:color w:val="auto"/>
          <w:sz w:val="24"/>
          <w:szCs w:val="24"/>
          <w:highlight w:val="none"/>
        </w:rPr>
        <w:t>的</w:t>
      </w:r>
      <w:r>
        <w:rPr>
          <w:rFonts w:hint="eastAsia" w:ascii="Times New Roman" w:hAnsi="Times New Roman" w:eastAsia="方正仿宋_GBK" w:cs="Times New Roman"/>
          <w:color w:val="auto"/>
          <w:sz w:val="24"/>
          <w:szCs w:val="24"/>
          <w:highlight w:val="none"/>
          <w:lang w:val="en-US" w:eastAsia="zh-CN"/>
        </w:rPr>
        <w:t>承包</w:t>
      </w:r>
      <w:r>
        <w:rPr>
          <w:rFonts w:hint="default" w:ascii="Times New Roman" w:hAnsi="Times New Roman" w:eastAsia="方正仿宋_GBK" w:cs="Times New Roman"/>
          <w:color w:val="auto"/>
          <w:sz w:val="24"/>
          <w:szCs w:val="24"/>
          <w:highlight w:val="none"/>
        </w:rPr>
        <w:t>方</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双方拟签订</w:t>
      </w:r>
      <w:r>
        <w:rPr>
          <w:rFonts w:hint="eastAsia" w:ascii="Times New Roman" w:hAnsi="Times New Roman" w:eastAsia="方正仿宋_GBK" w:cs="Times New Roman"/>
          <w:color w:val="auto"/>
          <w:sz w:val="24"/>
          <w:szCs w:val="24"/>
          <w:highlight w:val="none"/>
          <w:lang w:val="en-US" w:eastAsia="zh-CN"/>
        </w:rPr>
        <w:t>大荔牧场</w:t>
      </w:r>
      <w:r>
        <w:rPr>
          <w:rFonts w:hint="eastAsia" w:ascii="Times New Roman" w:hAnsi="Times New Roman" w:eastAsia="方正仿宋_GBK" w:cs="Times New Roman"/>
          <w:color w:val="auto"/>
          <w:sz w:val="24"/>
          <w:szCs w:val="24"/>
          <w:highlight w:val="none"/>
        </w:rPr>
        <w:t>卸料及倒料劳务外包</w:t>
      </w:r>
      <w:r>
        <w:rPr>
          <w:rFonts w:hint="default" w:ascii="Times New Roman" w:hAnsi="Times New Roman" w:eastAsia="方正仿宋_GBK" w:cs="Times New Roman"/>
          <w:color w:val="auto"/>
          <w:sz w:val="24"/>
          <w:szCs w:val="24"/>
          <w:highlight w:val="none"/>
        </w:rPr>
        <w:t>合同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以下简称主合同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。为确保各方本次及未来所有相关交易在合法、合规、透明、诚信的原则下进行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杜绝任何形式的贿赂、腐败和不正当利益输送</w:t>
      </w:r>
      <w:r>
        <w:rPr>
          <w:rFonts w:hint="eastAsia" w:ascii="Times New Roman" w:hAnsi="Times New Roman" w:eastAsia="方正仿宋_GBK" w:cs="Times New Roman"/>
          <w:color w:val="auto"/>
          <w:sz w:val="24"/>
          <w:szCs w:val="24"/>
          <w:highlight w:val="none"/>
          <w:lang w:eastAsia="zh-CN"/>
        </w:rPr>
        <w:t>以及围标串标、弄虚作假</w:t>
      </w:r>
      <w:r>
        <w:rPr>
          <w:rFonts w:hint="eastAsia" w:ascii="Times New Roman" w:hAnsi="Times New Roman" w:eastAsia="方正仿宋_GBK" w:cs="Times New Roman"/>
          <w:color w:val="auto"/>
          <w:sz w:val="24"/>
          <w:szCs w:val="24"/>
          <w:highlight w:val="none"/>
          <w:lang w:val="en-US" w:eastAsia="zh-CN"/>
        </w:rPr>
        <w:t>等</w:t>
      </w:r>
      <w:r>
        <w:rPr>
          <w:rFonts w:hint="eastAsia" w:ascii="Times New Roman" w:hAnsi="Times New Roman" w:eastAsia="方正仿宋_GBK" w:cs="Times New Roman"/>
          <w:color w:val="auto"/>
          <w:sz w:val="24"/>
          <w:szCs w:val="24"/>
          <w:highlight w:val="none"/>
          <w:lang w:eastAsia="zh-CN"/>
        </w:rPr>
        <w:t>行为</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双方在签订业务合同的同时</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共同签订本协议</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各方承诺严格遵守本协议条款</w:t>
      </w:r>
      <w:r>
        <w:rPr>
          <w:rFonts w:hint="default"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一、本协议相关定义与约束力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本协议所指商业贿赂是指为争取己方利益,而给对方员工或领导个人的回扣、退佣、招待、娱乐、置业、就业、旅游、馈赠、购物折扣及其他一切物质或精神上有直接受益的开支。</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val="en-US" w:eastAsia="zh-CN"/>
        </w:rPr>
        <w:t>本协议所指围标串标，是指《中华人民共和国招标投标法》《中华人民共和国政府采购法》及相关法律法规规定的围标串标行为。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本协议所指</w:t>
      </w:r>
      <w:r>
        <w:rPr>
          <w:rFonts w:hint="eastAsia" w:ascii="Times New Roman" w:hAnsi="Times New Roman" w:eastAsia="方正仿宋_GBK" w:cs="Times New Roman"/>
          <w:color w:val="auto"/>
          <w:sz w:val="24"/>
          <w:szCs w:val="24"/>
          <w:highlight w:val="none"/>
          <w:lang w:val="en-US" w:eastAsia="zh-CN"/>
        </w:rPr>
        <w:t>弄虚作假，是指伪造资质、业绩、证书、授权文件等投标材料以及数据造假，或提供虚假陈述等行为。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本协议对双方及双方员工、委托代理人具有约束力</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各方应对相关人员做好宣贯工作。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二、利益获取途径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包括但不限于</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公司产品销售环节的销售产品优质低价、数量实多计少、补偿或货款延迟支付等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项目合作中的项目招投标环节信息打探、</w:t>
      </w:r>
      <w:r>
        <w:rPr>
          <w:rFonts w:hint="eastAsia" w:ascii="Times New Roman" w:hAnsi="Times New Roman" w:eastAsia="方正仿宋_GBK" w:cs="Times New Roman"/>
          <w:color w:val="auto"/>
          <w:sz w:val="24"/>
          <w:szCs w:val="24"/>
          <w:highlight w:val="none"/>
          <w:lang w:eastAsia="zh-CN"/>
        </w:rPr>
        <w:t>围标串标、</w:t>
      </w:r>
      <w:r>
        <w:rPr>
          <w:rFonts w:hint="default" w:ascii="Times New Roman" w:hAnsi="Times New Roman" w:eastAsia="方正仿宋_GBK" w:cs="Times New Roman"/>
          <w:color w:val="auto"/>
          <w:sz w:val="24"/>
          <w:szCs w:val="24"/>
          <w:highlight w:val="none"/>
        </w:rPr>
        <w:t>实施环节以次充好、</w:t>
      </w:r>
      <w:r>
        <w:rPr>
          <w:rFonts w:hint="eastAsia" w:ascii="Times New Roman" w:hAnsi="Times New Roman" w:eastAsia="方正仿宋_GBK" w:cs="Times New Roman"/>
          <w:color w:val="auto"/>
          <w:sz w:val="24"/>
          <w:szCs w:val="24"/>
          <w:highlight w:val="none"/>
          <w:lang w:eastAsia="zh-CN"/>
        </w:rPr>
        <w:t>数据造假、</w:t>
      </w:r>
      <w:r>
        <w:rPr>
          <w:rFonts w:hint="default" w:ascii="Times New Roman" w:hAnsi="Times New Roman" w:eastAsia="方正仿宋_GBK" w:cs="Times New Roman"/>
          <w:color w:val="auto"/>
          <w:sz w:val="24"/>
          <w:szCs w:val="24"/>
          <w:highlight w:val="none"/>
        </w:rPr>
        <w:t>验收工程量不实、提前支付工程款等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物资采购环节中的物品劣质高价、数量短缺、货款预付等非正常、不合理的方式。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三、为避免上述行为的发生</w:t>
      </w:r>
      <w:r>
        <w:rPr>
          <w:rFonts w:hint="eastAsia" w:ascii="Times New Roman" w:hAnsi="Times New Roman" w:eastAsia="方正黑体_GBK" w:cs="Times New Roman"/>
          <w:color w:val="auto"/>
          <w:sz w:val="24"/>
          <w:szCs w:val="24"/>
          <w:highlight w:val="none"/>
          <w:lang w:eastAsia="zh-CN"/>
        </w:rPr>
        <w:t>，</w:t>
      </w:r>
      <w:r>
        <w:rPr>
          <w:rFonts w:hint="default" w:ascii="Times New Roman" w:hAnsi="Times New Roman" w:eastAsia="方正黑体_GBK" w:cs="Times New Roman"/>
          <w:color w:val="auto"/>
          <w:sz w:val="24"/>
          <w:szCs w:val="24"/>
          <w:highlight w:val="none"/>
        </w:rPr>
        <w:t>双方应共同遵守如下承诺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乙方不得以金钱方式贿赂甲方的业务人员、高管人员等与合同履行相关的人员。金钱方式贿赂是指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包括但不限于支付现金、劳务费、报销个人费用、赠与银行卡、赠与有价证劵等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如购物卡、提货单、娱乐场所会员卡、打折卡、代币券、证券、电子红包等。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乙方不得以实物方式贿赂甲方的业务人员、高管人员等与合同履行相关的人员。实物方式贿赂是指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促销活动中的返利、赠品、汽车、住房等实物。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乙方不得以消费方式贿赂甲方的业务人员、高管人员等与合同履行相关的人员。消费方式贿赂是指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包括但不限于娱乐消费、旅游、国内或国外非合同标的内容的考察、可能影响公正执行公务的宴请等方式。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四</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乙方不得以其他任何方式贿赂甲方的业务人员、高管人员等与合同履行相关的人员。包括但不限于以下方式</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1.提供干股或者红利</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或提供从事材料、设备供应及工程分包等交易机会</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或为相关人员置业、住房装修、婚丧嫁娶、工作安排、子女教育、出境提供方便</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2.账外暗中给予回扣、中介费、手续费、好处费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以及假借借用等名义长期提供交通工具、房屋使用权等</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乙方不得以任何理由接受甲方的高管人员、工作人员及其亲属说情打招呼。</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（六）乙方不得以任何理由围标串标，弄虚作假。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四、及时通报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在合同履行过程中</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如果任何一方发现对方合同履行相关人员有出现第三条任何一款所约定行为时</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无论行为人是基于合法或非法目的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均应在第一时间通报对方。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在合同履行过程中</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应予拒绝</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并应在第一时间向对方通报。若通报情况查证属实</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对方承诺根据具体情况予以合同价款一定比例的奖励给通报方公司</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若乙方发现甲方人员索要任何好处不及时向甲方举报</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由此造成的乙方损失</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甲方不承担任何责任。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五、举报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甲方受理举报信息单位、地址、电话</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受理单位：中垦牧乳业（集团）股份有限公司</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地址：重庆市渝北区金石大道99号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电话：023-63211638</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乙方受理举报信息单位、地址、电话</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受理单位：XXX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地址：XXX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电话：XXX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六、违约责任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乙方或乙方任何人员违反以上承诺视同乙方违约</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甲方有权终止合作</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（一）涉及行贿受贿的</w:t>
      </w:r>
      <w:r>
        <w:rPr>
          <w:rFonts w:hint="default" w:ascii="Times New Roman" w:hAnsi="Times New Roman" w:eastAsia="方正仿宋_GBK" w:cs="Times New Roman"/>
          <w:color w:val="auto"/>
          <w:sz w:val="24"/>
          <w:szCs w:val="24"/>
          <w:highlight w:val="none"/>
        </w:rPr>
        <w:t>按照下列标准向乙方收取</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且乙方同意甲方先行直接从货款中扣除</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工程项目直接从工程款中扣除</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行贿金额为人民币1万元</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含</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元以下</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违约金为人民币5万元</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人民币1万元&lt;行贿金额</w:t>
      </w:r>
      <w:r>
        <w:rPr>
          <w:rFonts w:hint="eastAsia" w:ascii="东文宋体" w:hAnsi="东文宋体" w:eastAsia="东文宋体" w:cs="东文宋体"/>
          <w:color w:val="auto"/>
          <w:sz w:val="24"/>
          <w:szCs w:val="24"/>
          <w:highlight w:val="none"/>
        </w:rPr>
        <w:t>≤</w:t>
      </w:r>
      <w:r>
        <w:rPr>
          <w:rFonts w:hint="default" w:ascii="Times New Roman" w:hAnsi="Times New Roman" w:eastAsia="方正仿宋_GBK" w:cs="Times New Roman"/>
          <w:color w:val="auto"/>
          <w:sz w:val="24"/>
          <w:szCs w:val="24"/>
          <w:highlight w:val="none"/>
        </w:rPr>
        <w:t>人民币2万元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违约金为行贿金额的十倍</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人民币2万元&lt;行贿金额</w:t>
      </w:r>
      <w:r>
        <w:rPr>
          <w:rFonts w:hint="eastAsia" w:ascii="东文宋体" w:hAnsi="东文宋体" w:eastAsia="东文宋体" w:cs="东文宋体"/>
          <w:color w:val="auto"/>
          <w:sz w:val="24"/>
          <w:szCs w:val="24"/>
          <w:highlight w:val="none"/>
        </w:rPr>
        <w:t>≤</w:t>
      </w:r>
      <w:r>
        <w:rPr>
          <w:rFonts w:hint="default" w:ascii="Times New Roman" w:hAnsi="Times New Roman" w:eastAsia="方正仿宋_GBK" w:cs="Times New Roman"/>
          <w:color w:val="auto"/>
          <w:sz w:val="24"/>
          <w:szCs w:val="24"/>
          <w:highlight w:val="none"/>
        </w:rPr>
        <w:t>人民币3万元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违约金为行贿金额的二十倍</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行贿金额&gt;人民币3万元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违约金为双方合同总金额30%</w:t>
      </w:r>
      <w:r>
        <w:rPr>
          <w:rFonts w:hint="eastAsia" w:ascii="Times New Roman" w:hAnsi="Times New Roman" w:eastAsia="方正仿宋_GBK" w:cs="Times New Roman"/>
          <w:color w:val="auto"/>
          <w:sz w:val="24"/>
          <w:szCs w:val="24"/>
          <w:highlight w:val="none"/>
          <w:lang w:eastAsia="zh-CN"/>
        </w:rPr>
        <w:t>，且不低于</w:t>
      </w:r>
      <w:r>
        <w:rPr>
          <w:rFonts w:hint="default" w:ascii="Times New Roman" w:hAnsi="Times New Roman" w:eastAsia="方正仿宋_GBK" w:cs="Times New Roman"/>
          <w:color w:val="auto"/>
          <w:sz w:val="24"/>
          <w:szCs w:val="24"/>
          <w:highlight w:val="none"/>
        </w:rPr>
        <w:t>行贿金额的二十倍</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行贿次数为两次</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含</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以上的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按每次行贿金额单独计算并累计扣除</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违约金。不正当利益为非货币形式的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按市场价折算为货币。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（二）涉及围标串标、弄虚作假</w:t>
      </w:r>
      <w:r>
        <w:rPr>
          <w:rFonts w:hint="eastAsia" w:ascii="Times New Roman" w:hAnsi="Times New Roman" w:eastAsia="方正仿宋_GBK" w:cs="Times New Roman"/>
          <w:strike w:val="0"/>
          <w:color w:val="auto"/>
          <w:sz w:val="24"/>
          <w:szCs w:val="24"/>
          <w:highlight w:val="none"/>
          <w:lang w:eastAsia="zh-CN"/>
        </w:rPr>
        <w:t>的</w:t>
      </w:r>
      <w:r>
        <w:rPr>
          <w:rFonts w:hint="eastAsia" w:ascii="Times New Roman" w:hAnsi="Times New Roman" w:eastAsia="方正仿宋_GBK" w:cs="Times New Roman"/>
          <w:strike w:val="0"/>
          <w:dstrike w:val="0"/>
          <w:color w:val="auto"/>
          <w:sz w:val="24"/>
          <w:szCs w:val="24"/>
          <w:highlight w:val="none"/>
          <w:lang w:eastAsia="zh-CN"/>
        </w:rPr>
        <w:t>没收履约保证金</w:t>
      </w:r>
      <w:r>
        <w:rPr>
          <w:rFonts w:hint="eastAsia" w:ascii="Times New Roman" w:hAnsi="Times New Roman" w:eastAsia="方正仿宋_GBK" w:cs="Times New Roman"/>
          <w:color w:val="auto"/>
          <w:sz w:val="24"/>
          <w:szCs w:val="24"/>
          <w:highlight w:val="none"/>
          <w:lang w:val="en-US" w:eastAsia="zh-CN"/>
        </w:rPr>
        <w:t>，并</w:t>
      </w:r>
      <w:r>
        <w:rPr>
          <w:rFonts w:hint="eastAsia" w:ascii="Times New Roman" w:hAnsi="Times New Roman" w:eastAsia="方正仿宋_GBK" w:cs="Times New Roman"/>
          <w:color w:val="auto"/>
          <w:sz w:val="24"/>
          <w:szCs w:val="24"/>
          <w:highlight w:val="none"/>
          <w:lang w:eastAsia="zh-CN"/>
        </w:rPr>
        <w:t>收取合同总金额</w:t>
      </w:r>
      <w:r>
        <w:rPr>
          <w:rFonts w:hint="eastAsia" w:ascii="Times New Roman" w:hAnsi="Times New Roman" w:eastAsia="方正仿宋_GBK" w:cs="Times New Roman"/>
          <w:color w:val="auto"/>
          <w:sz w:val="24"/>
          <w:szCs w:val="24"/>
          <w:highlight w:val="none"/>
          <w:lang w:val="en-US" w:eastAsia="zh-CN"/>
        </w:rPr>
        <w:t>30%的惩罚性违约金，</w:t>
      </w:r>
      <w:r>
        <w:rPr>
          <w:rFonts w:hint="default" w:ascii="Times New Roman" w:hAnsi="Times New Roman" w:eastAsia="方正仿宋_GBK" w:cs="Times New Roman"/>
          <w:color w:val="auto"/>
          <w:sz w:val="24"/>
          <w:szCs w:val="24"/>
          <w:highlight w:val="none"/>
        </w:rPr>
        <w:t>乙方同意甲方先行直接从货款中扣除</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工程项目直接从工程款中扣除</w:t>
      </w:r>
      <w:r>
        <w:rPr>
          <w:rFonts w:hint="eastAsia" w:ascii="Times New Roman" w:hAnsi="Times New Roman" w:eastAsia="方正仿宋_GBK" w:cs="Times New Roman"/>
          <w:color w:val="auto"/>
          <w:sz w:val="24"/>
          <w:szCs w:val="24"/>
          <w:highlight w:val="none"/>
          <w:lang w:eastAsia="zh-CN"/>
        </w:rPr>
        <w:t>）；如该行为给甲方造成经济损失，乙方同意另全额赔偿。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七、争议解决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如乙方违反本协议导致与甲方产生争议</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经协商无法达成一致意见的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任何一方应将争议提交至甲方所在地有管辖权的人民法院诉讼解决。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八、其他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1.本协议的生效日期</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自双方签字、盖章之日起生效。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2.本协议为主合同的补充内容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与主合同具有同样的法律效力。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3.本协议壹式贰份</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甲乙双方各执壹份。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甲方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盖章</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法定代表人或授权代表</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签字</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乙方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盖章</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法定代表人或授权代表</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签字</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签约时间</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年</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月</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签约地点</w:t>
      </w:r>
      <w:r>
        <w:rPr>
          <w:rFonts w:hint="eastAsia" w:ascii="Times New Roman" w:hAnsi="Times New Roman" w:eastAsia="方正仿宋_GBK" w:cs="Times New Roman"/>
          <w:color w:val="auto"/>
          <w:sz w:val="24"/>
          <w:szCs w:val="24"/>
          <w:highlight w:val="none"/>
          <w:lang w:eastAsia="zh-CN"/>
        </w:rPr>
        <w:t>：</w:t>
      </w:r>
    </w:p>
    <w:p>
      <w:pPr>
        <w:spacing w:line="240" w:lineRule="auto"/>
        <w:jc w:val="both"/>
        <w:outlineLvl w:val="0"/>
        <w:rPr>
          <w:rFonts w:hint="eastAsia" w:ascii="新宋体" w:hAnsi="新宋体" w:eastAsia="新宋体" w:cs="新宋体"/>
          <w:b/>
          <w:bCs/>
          <w:sz w:val="24"/>
          <w:szCs w:val="24"/>
          <w:highlight w:val="none"/>
          <w:lang w:val="en-US" w:eastAsia="zh-CN"/>
        </w:rPr>
      </w:pPr>
    </w:p>
    <w:p>
      <w:pPr>
        <w:spacing w:line="240" w:lineRule="auto"/>
        <w:jc w:val="center"/>
        <w:rPr>
          <w:rFonts w:hint="default" w:ascii="Times New Roman" w:hAnsi="Times New Roman" w:eastAsia="方正小标宋_GBK" w:cs="Times New Roman"/>
          <w:b w:val="0"/>
          <w:bCs/>
          <w:sz w:val="44"/>
          <w:szCs w:val="44"/>
          <w:highlight w:val="none"/>
          <w:lang w:eastAsia="zh-CN"/>
        </w:rPr>
      </w:pPr>
    </w:p>
    <w:p>
      <w:pPr>
        <w:spacing w:line="360" w:lineRule="auto"/>
        <w:jc w:val="center"/>
        <w:outlineLvl w:val="0"/>
        <w:rPr>
          <w:rFonts w:hint="eastAsia" w:ascii="Times New Roman" w:hAnsi="宋体" w:eastAsia="宋体" w:cs="Times New Roman"/>
          <w:b/>
          <w:bCs/>
          <w:sz w:val="32"/>
          <w:szCs w:val="20"/>
          <w:highlight w:val="none"/>
        </w:rPr>
      </w:pPr>
      <w:r>
        <w:rPr>
          <w:rFonts w:hint="default" w:ascii="Times New Roman" w:hAnsi="Times New Roman" w:eastAsia="方正小标宋_GBK" w:cs="Times New Roman"/>
          <w:b w:val="0"/>
          <w:bCs/>
          <w:sz w:val="44"/>
          <w:szCs w:val="44"/>
          <w:highlight w:val="none"/>
          <w:lang w:eastAsia="zh-CN"/>
        </w:rPr>
        <w:br w:type="page"/>
      </w:r>
    </w:p>
    <w:p>
      <w:pPr>
        <w:spacing w:line="0" w:lineRule="atLeast"/>
        <w:jc w:val="center"/>
        <w:rPr>
          <w:rFonts w:hint="eastAsia"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sz w:val="44"/>
          <w:szCs w:val="44"/>
          <w:highlight w:val="none"/>
        </w:rPr>
        <w:t>第六部分：比选响应文件格式及要求</w:t>
      </w:r>
    </w:p>
    <w:p>
      <w:pPr>
        <w:widowControl/>
        <w:spacing w:line="240" w:lineRule="auto"/>
        <w:jc w:val="center"/>
        <w:rPr>
          <w:rFonts w:hint="eastAsia" w:eastAsia="方正小标宋_GBK" w:cs="Times New Roman"/>
          <w:b/>
          <w:kern w:val="0"/>
          <w:sz w:val="44"/>
          <w:szCs w:val="44"/>
          <w:highlight w:val="none"/>
        </w:rPr>
      </w:pPr>
      <w:r>
        <w:rPr>
          <w:rFonts w:hint="eastAsia" w:eastAsia="方正小标宋_GBK" w:cs="Times New Roman"/>
          <w:b/>
          <w:kern w:val="0"/>
          <w:sz w:val="44"/>
          <w:szCs w:val="44"/>
          <w:highlight w:val="none"/>
        </w:rPr>
        <w:t>中垦牧（陕西）牧业有限公司大荔</w:t>
      </w:r>
      <w:r>
        <w:rPr>
          <w:rFonts w:hint="eastAsia" w:eastAsia="方正小标宋_GBK" w:cs="Times New Roman"/>
          <w:b/>
          <w:kern w:val="0"/>
          <w:sz w:val="44"/>
          <w:szCs w:val="44"/>
          <w:highlight w:val="none"/>
          <w:lang w:val="en-US" w:eastAsia="zh-CN"/>
        </w:rPr>
        <w:t>牧场</w:t>
      </w:r>
    </w:p>
    <w:p>
      <w:pPr>
        <w:widowControl/>
        <w:spacing w:line="240" w:lineRule="auto"/>
        <w:jc w:val="center"/>
        <w:rPr>
          <w:rFonts w:ascii="Times New Roman" w:hAnsi="Times New Roman" w:eastAsia="方正小标宋_GBK" w:cs="Times New Roman"/>
          <w:b/>
          <w:kern w:val="0"/>
          <w:sz w:val="44"/>
          <w:szCs w:val="44"/>
          <w:highlight w:val="none"/>
        </w:rPr>
      </w:pPr>
      <w:r>
        <w:rPr>
          <w:rFonts w:hint="eastAsia" w:eastAsia="方正小标宋_GBK" w:cs="Times New Roman"/>
          <w:b/>
          <w:kern w:val="0"/>
          <w:sz w:val="44"/>
          <w:szCs w:val="44"/>
          <w:highlight w:val="none"/>
        </w:rPr>
        <w:t>卸料及倒料劳务外包</w:t>
      </w:r>
    </w:p>
    <w:p>
      <w:pPr>
        <w:pStyle w:val="10"/>
        <w:rPr>
          <w:rFonts w:ascii="Times New Roman" w:hAnsi="Times New Roman" w:cs="Times New Roman"/>
          <w:b/>
          <w:sz w:val="84"/>
          <w:szCs w:val="84"/>
          <w:highlight w:val="none"/>
        </w:rPr>
      </w:pPr>
    </w:p>
    <w:p>
      <w:pPr>
        <w:pStyle w:val="10"/>
        <w:jc w:val="center"/>
        <w:rPr>
          <w:rFonts w:ascii="Times New Roman" w:hAnsi="Times New Roman" w:cs="Times New Roman"/>
          <w:b/>
          <w:sz w:val="84"/>
          <w:szCs w:val="84"/>
          <w:highlight w:val="none"/>
        </w:rPr>
      </w:pPr>
    </w:p>
    <w:p>
      <w:pPr>
        <w:pStyle w:val="10"/>
        <w:jc w:val="center"/>
        <w:rPr>
          <w:rFonts w:ascii="Times New Roman" w:hAnsi="Times New Roman" w:cs="Times New Roman"/>
          <w:b/>
          <w:sz w:val="84"/>
          <w:szCs w:val="84"/>
          <w:highlight w:val="none"/>
        </w:rPr>
      </w:pPr>
      <w:r>
        <w:rPr>
          <w:rFonts w:ascii="Times New Roman" w:hAnsi="Times New Roman" w:cs="Times New Roman"/>
          <w:b/>
          <w:sz w:val="84"/>
          <w:szCs w:val="84"/>
          <w:highlight w:val="none"/>
        </w:rPr>
        <w:t>比 选 响 应 文 件</w:t>
      </w:r>
    </w:p>
    <w:p>
      <w:pPr>
        <w:pStyle w:val="10"/>
        <w:jc w:val="center"/>
        <w:rPr>
          <w:rFonts w:ascii="Times New Roman" w:hAnsi="Times New Roman" w:cs="Times New Roman"/>
          <w:b/>
          <w:sz w:val="44"/>
          <w:szCs w:val="44"/>
          <w:highlight w:val="none"/>
        </w:rPr>
      </w:pPr>
    </w:p>
    <w:p>
      <w:pPr>
        <w:rPr>
          <w:highlight w:val="none"/>
        </w:rPr>
      </w:pPr>
    </w:p>
    <w:p>
      <w:pPr>
        <w:jc w:val="left"/>
        <w:rPr>
          <w:rFonts w:ascii="Times New Roman" w:hAnsi="Times New Roman" w:cs="Times New Roman"/>
          <w:b/>
          <w:sz w:val="28"/>
          <w:szCs w:val="28"/>
          <w:highlight w:val="none"/>
        </w:rPr>
      </w:pPr>
      <w:r>
        <w:rPr>
          <w:rFonts w:ascii="Times New Roman" w:hAnsi="Times New Roman" w:cs="Times New Roman"/>
          <w:b/>
          <w:sz w:val="28"/>
          <w:szCs w:val="28"/>
          <w:highlight w:val="none"/>
        </w:rPr>
        <w:t xml:space="preserve">             </w:t>
      </w:r>
    </w:p>
    <w:p>
      <w:pPr>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投标人：</w:t>
      </w:r>
      <w:r>
        <w:rPr>
          <w:rFonts w:ascii="Times New Roman" w:hAnsi="Times New Roman" w:cs="Times New Roman"/>
          <w:b/>
          <w:sz w:val="28"/>
          <w:szCs w:val="28"/>
          <w:highlight w:val="none"/>
          <w:u w:val="single"/>
        </w:rPr>
        <w:t xml:space="preserve">                       </w:t>
      </w:r>
      <w:r>
        <w:rPr>
          <w:rFonts w:ascii="Times New Roman" w:hAnsi="Times New Roman" w:cs="Times New Roman"/>
          <w:b/>
          <w:sz w:val="28"/>
          <w:szCs w:val="28"/>
          <w:highlight w:val="none"/>
        </w:rPr>
        <w:t>（盖章单位）</w:t>
      </w:r>
    </w:p>
    <w:p>
      <w:pPr>
        <w:jc w:val="center"/>
        <w:rPr>
          <w:rFonts w:ascii="Times New Roman" w:hAnsi="Times New Roman" w:cs="Times New Roman"/>
          <w:b/>
          <w:sz w:val="28"/>
          <w:szCs w:val="28"/>
          <w:highlight w:val="none"/>
        </w:rPr>
      </w:pPr>
    </w:p>
    <w:p>
      <w:pPr>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法定代表人或其委托代理人：</w:t>
      </w:r>
      <w:r>
        <w:rPr>
          <w:rFonts w:ascii="Times New Roman" w:hAnsi="Times New Roman" w:cs="Times New Roman"/>
          <w:b/>
          <w:sz w:val="28"/>
          <w:szCs w:val="28"/>
          <w:highlight w:val="none"/>
          <w:u w:val="single"/>
        </w:rPr>
        <w:t xml:space="preserve">         </w:t>
      </w:r>
      <w:r>
        <w:rPr>
          <w:rFonts w:ascii="Times New Roman" w:hAnsi="Times New Roman" w:cs="Times New Roman"/>
          <w:b/>
          <w:sz w:val="28"/>
          <w:szCs w:val="28"/>
          <w:highlight w:val="none"/>
        </w:rPr>
        <w:t>（签字）</w:t>
      </w:r>
    </w:p>
    <w:p>
      <w:pPr>
        <w:jc w:val="center"/>
        <w:rPr>
          <w:rFonts w:ascii="Times New Roman" w:hAnsi="Times New Roman" w:cs="Times New Roman"/>
          <w:b/>
          <w:sz w:val="28"/>
          <w:szCs w:val="28"/>
          <w:highlight w:val="none"/>
        </w:rPr>
      </w:pPr>
    </w:p>
    <w:p>
      <w:pPr>
        <w:jc w:val="center"/>
        <w:rPr>
          <w:rFonts w:ascii="Times New Roman" w:hAnsi="Times New Roman" w:eastAsia="宋体" w:cs="Times New Roman"/>
          <w:sz w:val="36"/>
          <w:szCs w:val="32"/>
          <w:highlight w:val="none"/>
        </w:rPr>
      </w:pPr>
      <w:r>
        <w:rPr>
          <w:rFonts w:ascii="Times New Roman" w:hAnsi="Times New Roman" w:cs="Times New Roman"/>
          <w:b/>
          <w:sz w:val="28"/>
          <w:szCs w:val="28"/>
          <w:highlight w:val="none"/>
        </w:rPr>
        <w:t>年</w:t>
      </w:r>
      <w:r>
        <w:rPr>
          <w:rFonts w:ascii="Times New Roman" w:hAnsi="Times New Roman" w:cs="Times New Roman"/>
          <w:b/>
          <w:sz w:val="28"/>
          <w:szCs w:val="28"/>
          <w:highlight w:val="none"/>
          <w:u w:val="single"/>
        </w:rPr>
        <w:t xml:space="preserve">   </w:t>
      </w:r>
      <w:r>
        <w:rPr>
          <w:rFonts w:ascii="Times New Roman" w:hAnsi="Times New Roman" w:cs="Times New Roman"/>
          <w:b/>
          <w:sz w:val="28"/>
          <w:szCs w:val="28"/>
          <w:highlight w:val="none"/>
        </w:rPr>
        <w:t>月</w:t>
      </w:r>
      <w:r>
        <w:rPr>
          <w:rFonts w:ascii="Times New Roman" w:hAnsi="Times New Roman" w:cs="Times New Roman"/>
          <w:b/>
          <w:sz w:val="28"/>
          <w:szCs w:val="28"/>
          <w:highlight w:val="none"/>
          <w:u w:val="single"/>
        </w:rPr>
        <w:t xml:space="preserve">   </w:t>
      </w:r>
      <w:r>
        <w:rPr>
          <w:rFonts w:ascii="Times New Roman" w:hAnsi="Times New Roman" w:cs="Times New Roman"/>
          <w:b/>
          <w:sz w:val="28"/>
          <w:szCs w:val="28"/>
          <w:highlight w:val="none"/>
        </w:rPr>
        <w:t>日</w:t>
      </w:r>
    </w:p>
    <w:p>
      <w:pPr>
        <w:autoSpaceDE w:val="0"/>
        <w:autoSpaceDN w:val="0"/>
        <w:adjustRightInd w:val="0"/>
        <w:spacing w:before="25" w:after="25" w:line="360" w:lineRule="auto"/>
        <w:jc w:val="center"/>
        <w:rPr>
          <w:rFonts w:hint="eastAsia" w:ascii="新宋体" w:hAnsi="新宋体" w:eastAsia="新宋体" w:cs="新宋体"/>
          <w:sz w:val="24"/>
          <w:szCs w:val="24"/>
          <w:highlight w:val="none"/>
        </w:rPr>
      </w:pPr>
    </w:p>
    <w:p>
      <w:pPr>
        <w:autoSpaceDE w:val="0"/>
        <w:autoSpaceDN w:val="0"/>
        <w:adjustRightInd w:val="0"/>
        <w:spacing w:before="25" w:after="25" w:line="360" w:lineRule="auto"/>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目录</w:t>
      </w:r>
    </w:p>
    <w:p>
      <w:pPr>
        <w:spacing w:line="360" w:lineRule="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一、</w:t>
      </w:r>
      <w:r>
        <w:rPr>
          <w:rFonts w:hint="eastAsia" w:ascii="新宋体" w:hAnsi="新宋体" w:eastAsia="新宋体" w:cs="新宋体"/>
          <w:sz w:val="24"/>
          <w:szCs w:val="24"/>
          <w:highlight w:val="none"/>
        </w:rPr>
        <w:t>投标函</w:t>
      </w:r>
    </w:p>
    <w:p>
      <w:pPr>
        <w:spacing w:line="360" w:lineRule="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二、商务部分</w:t>
      </w:r>
    </w:p>
    <w:p>
      <w:pPr>
        <w:spacing w:line="360" w:lineRule="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（一）营业执照（最新年检过的复印件）</w:t>
      </w:r>
    </w:p>
    <w:p>
      <w:pPr>
        <w:spacing w:line="360" w:lineRule="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（二）基本存款账户信息（复印件）</w:t>
      </w:r>
    </w:p>
    <w:p>
      <w:pPr>
        <w:spacing w:line="360" w:lineRule="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（三）法人代表授权书（原件）</w:t>
      </w:r>
    </w:p>
    <w:p>
      <w:pPr>
        <w:spacing w:line="360" w:lineRule="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（四）</w:t>
      </w:r>
      <w:r>
        <w:rPr>
          <w:rFonts w:hint="eastAsia" w:ascii="新宋体" w:hAnsi="新宋体" w:eastAsia="新宋体" w:cs="新宋体"/>
          <w:sz w:val="24"/>
          <w:szCs w:val="24"/>
          <w:highlight w:val="none"/>
          <w:lang w:val="en-US" w:eastAsia="zh-CN"/>
        </w:rPr>
        <w:t>法人委托书</w:t>
      </w:r>
      <w:r>
        <w:rPr>
          <w:rFonts w:hint="eastAsia" w:ascii="新宋体" w:hAnsi="新宋体" w:eastAsia="新宋体" w:cs="新宋体"/>
          <w:sz w:val="24"/>
          <w:szCs w:val="24"/>
          <w:highlight w:val="none"/>
        </w:rPr>
        <w:t>（复印件）</w:t>
      </w:r>
    </w:p>
    <w:p>
      <w:pPr>
        <w:spacing w:line="360" w:lineRule="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（五）投标承诺书</w:t>
      </w:r>
    </w:p>
    <w:p>
      <w:pPr>
        <w:spacing w:line="360" w:lineRule="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三、服务方案</w:t>
      </w:r>
    </w:p>
    <w:p>
      <w:pPr>
        <w:spacing w:line="360" w:lineRule="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四、人员配置表</w:t>
      </w:r>
    </w:p>
    <w:p>
      <w:pPr>
        <w:spacing w:line="360" w:lineRule="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五、报价单</w:t>
      </w:r>
    </w:p>
    <w:p>
      <w:pPr>
        <w:autoSpaceDE w:val="0"/>
        <w:autoSpaceDN w:val="0"/>
        <w:adjustRightInd w:val="0"/>
        <w:spacing w:line="360" w:lineRule="auto"/>
        <w:ind w:firstLine="720" w:firstLineChars="300"/>
        <w:jc w:val="left"/>
        <w:rPr>
          <w:rFonts w:hint="eastAsia" w:ascii="新宋体" w:hAnsi="新宋体" w:eastAsia="新宋体" w:cs="新宋体"/>
          <w:b/>
          <w:kern w:val="0"/>
          <w:sz w:val="24"/>
          <w:szCs w:val="24"/>
          <w:highlight w:val="none"/>
        </w:rPr>
      </w:pPr>
      <w:r>
        <w:rPr>
          <w:rFonts w:hint="eastAsia" w:ascii="新宋体" w:hAnsi="新宋体" w:eastAsia="新宋体" w:cs="新宋体"/>
          <w:b/>
          <w:kern w:val="0"/>
          <w:sz w:val="24"/>
          <w:szCs w:val="24"/>
          <w:highlight w:val="none"/>
        </w:rPr>
        <w:t>（注：上述文件根据上述要求提供，每页加盖公章）</w:t>
      </w:r>
    </w:p>
    <w:p>
      <w:pPr>
        <w:spacing w:line="500" w:lineRule="exact"/>
        <w:rPr>
          <w:rFonts w:ascii="Times New Roman" w:hAnsi="Times New Roman" w:cs="Times New Roman"/>
          <w:sz w:val="24"/>
          <w:szCs w:val="24"/>
          <w:highlight w:val="none"/>
        </w:rPr>
      </w:pPr>
    </w:p>
    <w:p>
      <w:pPr>
        <w:spacing w:line="0" w:lineRule="atLeast"/>
        <w:jc w:val="center"/>
        <w:rPr>
          <w:rFonts w:ascii="Times New Roman" w:hAnsi="Times New Roman" w:cs="Times New Roman"/>
          <w:b/>
          <w:sz w:val="28"/>
          <w:szCs w:val="28"/>
          <w:highlight w:val="none"/>
        </w:rPr>
      </w:pPr>
    </w:p>
    <w:p>
      <w:pPr>
        <w:spacing w:line="0" w:lineRule="atLeast"/>
        <w:jc w:val="center"/>
        <w:rPr>
          <w:rFonts w:ascii="Times New Roman" w:hAnsi="Times New Roman" w:cs="Times New Roman"/>
          <w:b/>
          <w:sz w:val="28"/>
          <w:szCs w:val="28"/>
          <w:highlight w:val="none"/>
        </w:rPr>
      </w:pPr>
    </w:p>
    <w:p>
      <w:pPr>
        <w:spacing w:line="0" w:lineRule="atLeast"/>
        <w:jc w:val="center"/>
        <w:rPr>
          <w:rFonts w:ascii="Times New Roman" w:hAnsi="Times New Roman" w:cs="Times New Roman"/>
          <w:b/>
          <w:sz w:val="28"/>
          <w:szCs w:val="28"/>
          <w:highlight w:val="none"/>
        </w:rPr>
      </w:pPr>
    </w:p>
    <w:p>
      <w:pPr>
        <w:spacing w:line="0" w:lineRule="atLeast"/>
        <w:jc w:val="center"/>
        <w:rPr>
          <w:rFonts w:ascii="Times New Roman" w:hAnsi="Times New Roman" w:cs="Times New Roman"/>
          <w:b/>
          <w:sz w:val="28"/>
          <w:szCs w:val="28"/>
          <w:highlight w:val="none"/>
        </w:rPr>
      </w:pPr>
    </w:p>
    <w:p>
      <w:pPr>
        <w:spacing w:line="0" w:lineRule="atLeast"/>
        <w:jc w:val="center"/>
        <w:rPr>
          <w:rFonts w:ascii="Times New Roman" w:hAnsi="Times New Roman" w:cs="Times New Roman"/>
          <w:b/>
          <w:sz w:val="28"/>
          <w:szCs w:val="28"/>
          <w:highlight w:val="none"/>
        </w:rPr>
      </w:pPr>
    </w:p>
    <w:p>
      <w:pPr>
        <w:spacing w:line="0" w:lineRule="atLeast"/>
        <w:jc w:val="center"/>
        <w:rPr>
          <w:rFonts w:ascii="Times New Roman" w:hAnsi="Times New Roman" w:cs="Times New Roman"/>
          <w:b/>
          <w:sz w:val="28"/>
          <w:szCs w:val="28"/>
          <w:highlight w:val="none"/>
        </w:rPr>
      </w:pPr>
    </w:p>
    <w:p>
      <w:pPr>
        <w:spacing w:line="0" w:lineRule="atLeast"/>
        <w:jc w:val="center"/>
        <w:rPr>
          <w:rFonts w:ascii="Times New Roman" w:hAnsi="Times New Roman" w:cs="Times New Roman"/>
          <w:b/>
          <w:sz w:val="28"/>
          <w:szCs w:val="28"/>
          <w:highlight w:val="none"/>
        </w:rPr>
      </w:pPr>
    </w:p>
    <w:p>
      <w:pPr>
        <w:spacing w:line="0" w:lineRule="atLeast"/>
        <w:jc w:val="center"/>
        <w:rPr>
          <w:rFonts w:ascii="Times New Roman" w:hAnsi="Times New Roman" w:cs="Times New Roman"/>
          <w:b/>
          <w:sz w:val="28"/>
          <w:szCs w:val="28"/>
          <w:highlight w:val="none"/>
        </w:rPr>
      </w:pPr>
    </w:p>
    <w:p>
      <w:pPr>
        <w:rPr>
          <w:rFonts w:hint="eastAsia" w:ascii="宋体" w:hAnsi="宋体" w:eastAsia="宋体" w:cs="宋体"/>
          <w:b/>
          <w:bCs/>
          <w:color w:val="auto"/>
          <w:sz w:val="36"/>
          <w:szCs w:val="36"/>
          <w:highlight w:val="none"/>
          <w:u w:val="none"/>
        </w:rPr>
      </w:pPr>
      <w:r>
        <w:rPr>
          <w:rFonts w:hint="eastAsia" w:ascii="宋体" w:hAnsi="宋体" w:eastAsia="宋体" w:cs="宋体"/>
          <w:b/>
          <w:bCs/>
          <w:color w:val="auto"/>
          <w:sz w:val="36"/>
          <w:szCs w:val="36"/>
          <w:highlight w:val="none"/>
          <w:u w:val="none"/>
        </w:rPr>
        <w:br w:type="page"/>
      </w:r>
    </w:p>
    <w:p>
      <w:pPr>
        <w:pStyle w:val="5"/>
        <w:spacing w:after="0" w:line="240" w:lineRule="auto"/>
        <w:jc w:val="center"/>
        <w:rPr>
          <w:rFonts w:ascii="Times New Roman" w:hAnsi="Times New Roman" w:eastAsia="宋体" w:cs="Times New Roman"/>
          <w:b/>
          <w:bCs/>
          <w:color w:val="auto"/>
          <w:sz w:val="36"/>
          <w:szCs w:val="36"/>
          <w:highlight w:val="none"/>
          <w:u w:val="none"/>
        </w:rPr>
      </w:pPr>
      <w:r>
        <w:rPr>
          <w:rFonts w:hint="eastAsia" w:ascii="宋体" w:hAnsi="宋体" w:eastAsia="宋体" w:cs="宋体"/>
          <w:b/>
          <w:bCs/>
          <w:color w:val="auto"/>
          <w:sz w:val="36"/>
          <w:szCs w:val="36"/>
          <w:highlight w:val="none"/>
          <w:u w:val="none"/>
        </w:rPr>
        <w:t>一、投标函</w:t>
      </w:r>
    </w:p>
    <w:p>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中垦牧（陕西）牧业有限公司</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我方根据从中垦牧乳业官网下载</w:t>
      </w:r>
      <w:r>
        <w:rPr>
          <w:rFonts w:hint="eastAsia" w:ascii="宋体" w:hAnsi="宋体" w:eastAsia="宋体" w:cs="宋体"/>
          <w:sz w:val="24"/>
          <w:szCs w:val="24"/>
          <w:highlight w:val="none"/>
          <w:u w:val="single"/>
        </w:rPr>
        <w:t xml:space="preserve"> 大荔</w:t>
      </w:r>
      <w:r>
        <w:rPr>
          <w:rFonts w:hint="eastAsia" w:ascii="宋体" w:hAnsi="宋体" w:eastAsia="宋体" w:cs="宋体"/>
          <w:sz w:val="24"/>
          <w:szCs w:val="24"/>
          <w:highlight w:val="none"/>
          <w:u w:val="single"/>
          <w:lang w:val="en-US" w:eastAsia="zh-CN"/>
        </w:rPr>
        <w:t>牧场</w:t>
      </w:r>
      <w:r>
        <w:rPr>
          <w:rFonts w:hint="eastAsia" w:ascii="宋体" w:hAnsi="宋体" w:eastAsia="宋体" w:cs="宋体"/>
          <w:sz w:val="24"/>
          <w:szCs w:val="24"/>
          <w:highlight w:val="none"/>
          <w:u w:val="single"/>
        </w:rPr>
        <w:t>卸料及倒料劳务外包</w:t>
      </w:r>
      <w:r>
        <w:rPr>
          <w:rFonts w:hint="eastAsia" w:ascii="宋体" w:hAnsi="宋体" w:eastAsia="宋体" w:cs="宋体"/>
          <w:sz w:val="24"/>
          <w:szCs w:val="24"/>
          <w:highlight w:val="none"/>
          <w:u w:val="single"/>
          <w:lang w:val="en-US" w:eastAsia="zh-CN"/>
        </w:rPr>
        <w:t>项目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的比选公告，已充分理解了该公开比选文件的全部内容，决定参加投标，经我方研究决定，就以下内容分别做出承诺：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1、我方按照公开比选文件的要求，提供的投标文件1份；</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2、我方已详细审查全部招标文件，包括修改文件（如有的话）以及全部参考资料和有关附件，我们完全理解上述文件的内容并同意放弃对上述文件的内容有不明及误解的追究权利；</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3、我方承诺我们的投标文件中有关陈述全部是真实的准确的，若有违背，我方将承担由此造成的一切后果；</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4、如果我方中标，保证忠实地执行买卖双方所签的经济合同，承担合同规定的责任和义务；</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5、我方的投标有效期为：自开标之日起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440" w:lineRule="exact"/>
        <w:rPr>
          <w:rFonts w:hint="eastAsia" w:ascii="宋体" w:hAnsi="宋体" w:eastAsia="宋体" w:cs="宋体"/>
          <w:sz w:val="24"/>
          <w:szCs w:val="24"/>
          <w:highlight w:val="none"/>
        </w:rPr>
      </w:pP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 （盖章）         </w:t>
      </w:r>
    </w:p>
    <w:p>
      <w:pPr>
        <w:spacing w:line="440" w:lineRule="exact"/>
        <w:ind w:firstLine="480" w:firstLineChars="200"/>
        <w:rPr>
          <w:rFonts w:hint="eastAsia" w:ascii="宋体" w:hAnsi="宋体" w:eastAsia="宋体" w:cs="宋体"/>
          <w:sz w:val="24"/>
          <w:szCs w:val="24"/>
          <w:highlight w:val="none"/>
        </w:rPr>
      </w:pP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法定代表人或其授权委托人： （签字或盖章）</w:t>
      </w:r>
    </w:p>
    <w:p>
      <w:pPr>
        <w:pStyle w:val="7"/>
        <w:ind w:firstLine="480" w:firstLineChars="200"/>
        <w:rPr>
          <w:rFonts w:hint="eastAsia" w:ascii="宋体" w:hAnsi="宋体" w:eastAsia="宋体" w:cs="宋体"/>
          <w:sz w:val="24"/>
          <w:szCs w:val="24"/>
          <w:highlight w:val="none"/>
        </w:rPr>
      </w:pPr>
    </w:p>
    <w:p>
      <w:pPr>
        <w:pStyle w:val="7"/>
        <w:ind w:firstLine="480" w:firstLineChars="200"/>
        <w:rPr>
          <w:rFonts w:hint="eastAsia" w:eastAsia="宋体"/>
          <w:sz w:val="20"/>
          <w:szCs w:val="21"/>
          <w:highlight w:val="none"/>
        </w:rPr>
      </w:pPr>
      <w:r>
        <w:rPr>
          <w:rFonts w:hint="eastAsia" w:ascii="宋体" w:hAnsi="宋体" w:eastAsia="宋体" w:cs="宋体"/>
          <w:sz w:val="24"/>
          <w:szCs w:val="24"/>
          <w:highlight w:val="none"/>
        </w:rPr>
        <w:t>电话：</w:t>
      </w:r>
    </w:p>
    <w:p>
      <w:pPr>
        <w:spacing w:line="440" w:lineRule="exact"/>
        <w:ind w:firstLine="480" w:firstLineChars="200"/>
        <w:jc w:val="center"/>
        <w:rPr>
          <w:rFonts w:hint="eastAsia" w:ascii="宋体" w:hAnsi="宋体" w:eastAsia="宋体" w:cs="宋体"/>
          <w:sz w:val="24"/>
          <w:szCs w:val="24"/>
          <w:highlight w:val="none"/>
        </w:rPr>
      </w:pPr>
    </w:p>
    <w:p>
      <w:pPr>
        <w:spacing w:line="440" w:lineRule="exact"/>
        <w:ind w:firstLine="480" w:firstLineChars="200"/>
        <w:jc w:val="center"/>
        <w:rPr>
          <w:rFonts w:hint="eastAsia" w:ascii="宋体" w:hAnsi="宋体" w:eastAsia="宋体" w:cs="宋体"/>
          <w:sz w:val="24"/>
          <w:szCs w:val="24"/>
          <w:highlight w:val="none"/>
        </w:rPr>
        <w:sectPr>
          <w:headerReference r:id="rId3" w:type="default"/>
          <w:footerReference r:id="rId4" w:type="default"/>
          <w:pgSz w:w="11906" w:h="16838"/>
          <w:pgMar w:top="1417" w:right="1701" w:bottom="1400" w:left="1701" w:header="851" w:footer="992" w:gutter="0"/>
          <w:cols w:space="720" w:num="1"/>
          <w:docGrid w:type="linesAndChars" w:linePitch="312" w:charSpace="0"/>
        </w:sectPr>
      </w:pPr>
      <w:r>
        <w:rPr>
          <w:rFonts w:hint="eastAsia" w:ascii="宋体" w:hAnsi="宋体" w:eastAsia="宋体" w:cs="宋体"/>
          <w:sz w:val="24"/>
          <w:szCs w:val="24"/>
          <w:highlight w:val="none"/>
        </w:rPr>
        <w:t>日   期：    年   月  日</w:t>
      </w:r>
    </w:p>
    <w:p>
      <w:pPr>
        <w:spacing w:line="360" w:lineRule="auto"/>
        <w:ind w:left="420"/>
        <w:jc w:val="center"/>
        <w:rPr>
          <w:rFonts w:hint="eastAsia" w:ascii="新宋体" w:hAnsi="新宋体" w:eastAsia="新宋体" w:cs="新宋体"/>
          <w:b/>
          <w:bCs/>
          <w:sz w:val="36"/>
          <w:szCs w:val="36"/>
          <w:highlight w:val="none"/>
        </w:rPr>
      </w:pPr>
      <w:r>
        <w:rPr>
          <w:rFonts w:hint="eastAsia" w:ascii="新宋体" w:hAnsi="新宋体" w:eastAsia="新宋体" w:cs="新宋体"/>
          <w:b/>
          <w:bCs/>
          <w:sz w:val="36"/>
          <w:szCs w:val="36"/>
          <w:highlight w:val="none"/>
        </w:rPr>
        <w:t>二、商务部分</w:t>
      </w:r>
    </w:p>
    <w:p>
      <w:pPr>
        <w:spacing w:line="440" w:lineRule="exact"/>
        <w:jc w:val="center"/>
        <w:rPr>
          <w:rFonts w:hint="eastAsia" w:ascii="新宋体" w:hAnsi="新宋体" w:eastAsia="新宋体" w:cs="新宋体"/>
          <w:b/>
          <w:bCs/>
          <w:sz w:val="36"/>
          <w:szCs w:val="36"/>
          <w:highlight w:val="none"/>
        </w:rPr>
      </w:pPr>
    </w:p>
    <w:p>
      <w:pPr>
        <w:spacing w:line="440" w:lineRule="exact"/>
        <w:ind w:right="600"/>
        <w:rPr>
          <w:rFonts w:hint="eastAsia" w:ascii="方正仿宋_GBK" w:hAnsi="方正仿宋_GBK" w:eastAsia="方正仿宋_GBK" w:cs="方正仿宋_GBK"/>
          <w:kern w:val="0"/>
          <w:sz w:val="24"/>
          <w:highlight w:val="none"/>
        </w:rPr>
      </w:pPr>
    </w:p>
    <w:p>
      <w:pPr>
        <w:autoSpaceDE w:val="0"/>
        <w:autoSpaceDN w:val="0"/>
        <w:adjustRightInd w:val="0"/>
        <w:spacing w:before="25" w:after="25" w:line="360" w:lineRule="auto"/>
        <w:jc w:val="left"/>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1、营业执照</w:t>
      </w:r>
      <w:r>
        <w:rPr>
          <w:rFonts w:hint="eastAsia" w:ascii="新宋体" w:hAnsi="新宋体" w:eastAsia="新宋体" w:cs="新宋体"/>
          <w:color w:val="000000"/>
          <w:sz w:val="24"/>
          <w:szCs w:val="24"/>
          <w:highlight w:val="none"/>
        </w:rPr>
        <w:t>（最新年检过的复印件）</w:t>
      </w:r>
    </w:p>
    <w:p>
      <w:pPr>
        <w:autoSpaceDE w:val="0"/>
        <w:autoSpaceDN w:val="0"/>
        <w:adjustRightInd w:val="0"/>
        <w:spacing w:before="25" w:after="25" w:line="360" w:lineRule="auto"/>
        <w:jc w:val="left"/>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2、基本存款账户信息（复印件）</w:t>
      </w:r>
    </w:p>
    <w:p>
      <w:pPr>
        <w:autoSpaceDE w:val="0"/>
        <w:autoSpaceDN w:val="0"/>
        <w:adjustRightInd w:val="0"/>
        <w:spacing w:before="25" w:after="25"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3、法人代表授权书（原件）</w:t>
      </w:r>
    </w:p>
    <w:p>
      <w:pPr>
        <w:autoSpaceDE w:val="0"/>
        <w:autoSpaceDN w:val="0"/>
        <w:adjustRightInd w:val="0"/>
        <w:spacing w:before="25" w:after="25"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4、法人委托书（复印件）</w:t>
      </w:r>
    </w:p>
    <w:p>
      <w:pPr>
        <w:autoSpaceDE w:val="0"/>
        <w:autoSpaceDN w:val="0"/>
        <w:adjustRightInd w:val="0"/>
        <w:spacing w:before="25" w:after="25" w:line="360" w:lineRule="auto"/>
        <w:jc w:val="left"/>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5、投标承诺书</w:t>
      </w:r>
    </w:p>
    <w:p>
      <w:pPr>
        <w:spacing w:line="440" w:lineRule="exact"/>
        <w:ind w:right="600"/>
        <w:rPr>
          <w:rFonts w:hint="eastAsia" w:ascii="方正仿宋_GBK" w:hAnsi="方正仿宋_GBK" w:eastAsia="方正仿宋_GBK" w:cs="方正仿宋_GBK"/>
          <w:kern w:val="0"/>
          <w:sz w:val="24"/>
          <w:highlight w:val="none"/>
        </w:rPr>
      </w:pPr>
    </w:p>
    <w:p>
      <w:pPr>
        <w:spacing w:line="440" w:lineRule="exact"/>
        <w:ind w:right="600"/>
        <w:rPr>
          <w:rFonts w:ascii="Times New Roman" w:hAnsi="Times New Roman" w:cs="Times New Roman"/>
          <w:kern w:val="0"/>
          <w:sz w:val="24"/>
          <w:highlight w:val="none"/>
        </w:rPr>
      </w:pPr>
    </w:p>
    <w:p>
      <w:pPr>
        <w:spacing w:line="440" w:lineRule="exact"/>
        <w:ind w:right="600"/>
        <w:rPr>
          <w:rFonts w:ascii="Times New Roman" w:hAnsi="Times New Roman" w:cs="Times New Roman"/>
          <w:kern w:val="0"/>
          <w:sz w:val="24"/>
          <w:highlight w:val="none"/>
        </w:rPr>
      </w:pPr>
    </w:p>
    <w:p>
      <w:pPr>
        <w:spacing w:line="440" w:lineRule="exact"/>
        <w:ind w:right="600"/>
        <w:rPr>
          <w:rFonts w:ascii="Times New Roman" w:hAnsi="Times New Roman" w:cs="Times New Roman"/>
          <w:kern w:val="0"/>
          <w:sz w:val="24"/>
          <w:highlight w:val="none"/>
        </w:rPr>
      </w:pPr>
    </w:p>
    <w:p>
      <w:pPr>
        <w:spacing w:line="440" w:lineRule="exact"/>
        <w:ind w:right="600"/>
        <w:rPr>
          <w:rFonts w:ascii="Times New Roman" w:hAnsi="Times New Roman" w:cs="Times New Roman"/>
          <w:kern w:val="0"/>
          <w:sz w:val="24"/>
          <w:highlight w:val="none"/>
        </w:rPr>
      </w:pPr>
    </w:p>
    <w:p>
      <w:pPr>
        <w:spacing w:line="440" w:lineRule="exact"/>
        <w:ind w:right="600"/>
        <w:rPr>
          <w:rFonts w:ascii="Times New Roman" w:hAnsi="Times New Roman" w:cs="Times New Roman"/>
          <w:kern w:val="0"/>
          <w:sz w:val="24"/>
          <w:highlight w:val="none"/>
        </w:rPr>
      </w:pPr>
    </w:p>
    <w:p>
      <w:pPr>
        <w:spacing w:line="440" w:lineRule="exact"/>
        <w:ind w:right="600"/>
        <w:rPr>
          <w:rFonts w:ascii="Times New Roman" w:hAnsi="Times New Roman" w:cs="Times New Roman"/>
          <w:kern w:val="0"/>
          <w:sz w:val="24"/>
          <w:highlight w:val="none"/>
        </w:rPr>
      </w:pPr>
    </w:p>
    <w:p>
      <w:pPr>
        <w:spacing w:line="440" w:lineRule="exact"/>
        <w:ind w:right="600"/>
        <w:rPr>
          <w:rFonts w:ascii="Times New Roman" w:hAnsi="Times New Roman" w:cs="Times New Roman"/>
          <w:kern w:val="0"/>
          <w:sz w:val="24"/>
          <w:highlight w:val="none"/>
        </w:rPr>
      </w:pPr>
    </w:p>
    <w:p>
      <w:pPr>
        <w:spacing w:line="440" w:lineRule="exact"/>
        <w:ind w:right="600"/>
        <w:rPr>
          <w:rFonts w:ascii="Times New Roman" w:hAnsi="Times New Roman" w:cs="Times New Roman"/>
          <w:kern w:val="0"/>
          <w:sz w:val="24"/>
          <w:highlight w:val="none"/>
        </w:rPr>
      </w:pPr>
    </w:p>
    <w:p>
      <w:pPr>
        <w:spacing w:line="440" w:lineRule="exact"/>
        <w:ind w:right="600"/>
        <w:rPr>
          <w:rFonts w:ascii="Times New Roman" w:hAnsi="Times New Roman" w:cs="Times New Roman"/>
          <w:kern w:val="0"/>
          <w:sz w:val="24"/>
          <w:highlight w:val="none"/>
        </w:rPr>
      </w:pPr>
    </w:p>
    <w:p>
      <w:pPr>
        <w:spacing w:line="440" w:lineRule="exact"/>
        <w:ind w:right="600"/>
        <w:rPr>
          <w:rFonts w:ascii="Times New Roman" w:hAnsi="Times New Roman" w:cs="Times New Roman"/>
          <w:kern w:val="0"/>
          <w:sz w:val="24"/>
          <w:highlight w:val="none"/>
        </w:rPr>
      </w:pPr>
    </w:p>
    <w:p>
      <w:pPr>
        <w:autoSpaceDE w:val="0"/>
        <w:autoSpaceDN w:val="0"/>
        <w:adjustRightInd w:val="0"/>
        <w:spacing w:before="25" w:after="25" w:line="440" w:lineRule="exact"/>
        <w:jc w:val="left"/>
        <w:rPr>
          <w:rFonts w:ascii="Times New Roman" w:hAnsi="Times New Roman" w:cs="Times New Roman"/>
          <w:sz w:val="24"/>
          <w:szCs w:val="24"/>
          <w:highlight w:val="none"/>
        </w:rPr>
      </w:pPr>
    </w:p>
    <w:p>
      <w:pPr>
        <w:autoSpaceDE w:val="0"/>
        <w:autoSpaceDN w:val="0"/>
        <w:adjustRightInd w:val="0"/>
        <w:spacing w:before="25" w:after="25" w:line="440" w:lineRule="exact"/>
        <w:jc w:val="center"/>
        <w:rPr>
          <w:rFonts w:ascii="Times New Roman" w:hAnsi="Times New Roman" w:cs="Times New Roman"/>
          <w:b/>
          <w:bCs/>
          <w:sz w:val="28"/>
          <w:szCs w:val="28"/>
          <w:highlight w:val="none"/>
        </w:rPr>
        <w:sectPr>
          <w:footerReference r:id="rId7" w:type="first"/>
          <w:headerReference r:id="rId5" w:type="default"/>
          <w:footerReference r:id="rId6" w:type="default"/>
          <w:pgSz w:w="11906" w:h="16838"/>
          <w:pgMar w:top="1440" w:right="1274" w:bottom="1440" w:left="1440" w:header="851" w:footer="992" w:gutter="0"/>
          <w:cols w:space="720" w:num="1"/>
          <w:titlePg/>
          <w:docGrid w:type="lines" w:linePitch="312" w:charSpace="0"/>
        </w:sectPr>
      </w:pPr>
    </w:p>
    <w:p>
      <w:pPr>
        <w:jc w:val="center"/>
        <w:rPr>
          <w:rFonts w:hint="eastAsia" w:ascii="新宋体" w:hAnsi="新宋体" w:eastAsia="新宋体" w:cs="新宋体"/>
          <w:b/>
          <w:bCs/>
          <w:sz w:val="36"/>
          <w:szCs w:val="32"/>
          <w:highlight w:val="none"/>
        </w:rPr>
      </w:pPr>
      <w:r>
        <w:rPr>
          <w:rFonts w:hint="eastAsia" w:ascii="新宋体" w:hAnsi="新宋体" w:eastAsia="新宋体" w:cs="新宋体"/>
          <w:b/>
          <w:bCs/>
          <w:sz w:val="36"/>
          <w:szCs w:val="32"/>
          <w:highlight w:val="none"/>
        </w:rPr>
        <w:t>1、营业执照</w:t>
      </w:r>
      <w:r>
        <w:rPr>
          <w:rFonts w:hint="eastAsia" w:ascii="新宋体" w:hAnsi="新宋体" w:eastAsia="新宋体" w:cs="新宋体"/>
          <w:sz w:val="24"/>
          <w:szCs w:val="24"/>
          <w:highlight w:val="none"/>
        </w:rPr>
        <w:t>（复印件）</w:t>
      </w:r>
    </w:p>
    <w:p>
      <w:pPr>
        <w:jc w:val="center"/>
        <w:rPr>
          <w:rFonts w:hint="eastAsia" w:ascii="新宋体" w:hAnsi="新宋体" w:eastAsia="新宋体" w:cs="新宋体"/>
          <w:b/>
          <w:bCs/>
          <w:sz w:val="36"/>
          <w:szCs w:val="32"/>
          <w:highlight w:val="none"/>
        </w:rPr>
      </w:pPr>
    </w:p>
    <w:p>
      <w:pPr>
        <w:jc w:val="center"/>
        <w:rPr>
          <w:rFonts w:hint="eastAsia" w:ascii="新宋体" w:hAnsi="新宋体" w:eastAsia="新宋体" w:cs="新宋体"/>
          <w:sz w:val="24"/>
          <w:szCs w:val="24"/>
          <w:highlight w:val="none"/>
        </w:rPr>
      </w:pPr>
      <w:r>
        <w:rPr>
          <w:rFonts w:hint="eastAsia" w:ascii="新宋体" w:hAnsi="新宋体" w:eastAsia="新宋体" w:cs="新宋体"/>
          <w:b/>
          <w:bCs/>
          <w:sz w:val="36"/>
          <w:szCs w:val="32"/>
          <w:highlight w:val="none"/>
        </w:rPr>
        <w:t>2、基本存款账户信息</w:t>
      </w:r>
      <w:r>
        <w:rPr>
          <w:rFonts w:hint="eastAsia" w:ascii="新宋体" w:hAnsi="新宋体" w:eastAsia="新宋体" w:cs="新宋体"/>
          <w:sz w:val="24"/>
          <w:szCs w:val="24"/>
          <w:highlight w:val="none"/>
        </w:rPr>
        <w:t>（复印件）</w:t>
      </w:r>
    </w:p>
    <w:p>
      <w:pPr>
        <w:spacing w:line="360" w:lineRule="auto"/>
        <w:jc w:val="center"/>
        <w:outlineLvl w:val="0"/>
        <w:rPr>
          <w:rFonts w:hint="eastAsia" w:ascii="宋体" w:hAnsi="宋体" w:eastAsia="宋体" w:cs="宋体"/>
          <w:bCs/>
          <w:sz w:val="36"/>
          <w:szCs w:val="36"/>
          <w:highlight w:val="none"/>
        </w:rPr>
      </w:pPr>
      <w:r>
        <w:rPr>
          <w:rFonts w:ascii="Times New Roman" w:hAnsi="Times New Roman" w:eastAsia="方正黑体_GBK" w:cs="Times New Roman"/>
          <w:b/>
          <w:bCs/>
          <w:sz w:val="36"/>
          <w:szCs w:val="32"/>
          <w:highlight w:val="none"/>
        </w:rPr>
        <w:br w:type="page"/>
      </w:r>
      <w:r>
        <w:rPr>
          <w:rFonts w:hint="eastAsia" w:ascii="Times New Roman" w:hAnsi="Times New Roman" w:eastAsia="方正黑体_GBK" w:cs="Times New Roman"/>
          <w:b/>
          <w:bCs/>
          <w:sz w:val="36"/>
          <w:szCs w:val="32"/>
          <w:highlight w:val="none"/>
        </w:rPr>
        <w:t>3、</w:t>
      </w:r>
      <w:r>
        <w:rPr>
          <w:rFonts w:hint="eastAsia" w:ascii="宋体" w:hAnsi="宋体" w:eastAsia="宋体" w:cs="宋体"/>
          <w:b/>
          <w:sz w:val="36"/>
          <w:szCs w:val="36"/>
          <w:highlight w:val="none"/>
        </w:rPr>
        <w:t>法定代表人（单位负责人）身份证明</w:t>
      </w:r>
    </w:p>
    <w:p>
      <w:pPr>
        <w:spacing w:line="440" w:lineRule="exact"/>
        <w:outlineLvl w:val="0"/>
        <w:rPr>
          <w:rFonts w:hint="eastAsia" w:ascii="宋体" w:hAnsi="宋体" w:eastAsia="宋体" w:cs="宋体"/>
          <w:bCs/>
          <w:sz w:val="24"/>
          <w:highlight w:val="none"/>
        </w:rPr>
      </w:pPr>
    </w:p>
    <w:p>
      <w:pPr>
        <w:spacing w:line="440" w:lineRule="exact"/>
        <w:outlineLvl w:val="0"/>
        <w:rPr>
          <w:rFonts w:hint="eastAsia" w:ascii="宋体" w:hAnsi="宋体" w:eastAsia="宋体" w:cs="宋体"/>
          <w:bCs/>
          <w:sz w:val="24"/>
          <w:highlight w:val="none"/>
        </w:rPr>
      </w:pPr>
      <w:r>
        <w:rPr>
          <w:rFonts w:hint="eastAsia" w:ascii="宋体" w:hAnsi="宋体" w:eastAsia="宋体" w:cs="宋体"/>
          <w:bCs/>
          <w:sz w:val="24"/>
          <w:highlight w:val="none"/>
        </w:rPr>
        <w:t>投标人名称：</w:t>
      </w:r>
      <w:r>
        <w:rPr>
          <w:rFonts w:hint="eastAsia" w:ascii="宋体" w:hAnsi="宋体" w:eastAsia="宋体" w:cs="宋体"/>
          <w:bCs/>
          <w:sz w:val="24"/>
          <w:highlight w:val="none"/>
          <w:u w:val="single"/>
        </w:rPr>
        <w:t xml:space="preserve">                </w:t>
      </w:r>
    </w:p>
    <w:p>
      <w:pPr>
        <w:spacing w:line="480" w:lineRule="auto"/>
        <w:ind w:firstLine="480" w:firstLineChars="200"/>
        <w:outlineLvl w:val="0"/>
        <w:rPr>
          <w:rFonts w:hint="eastAsia" w:ascii="宋体" w:hAnsi="宋体" w:eastAsia="宋体" w:cs="宋体"/>
          <w:bCs/>
          <w:sz w:val="24"/>
          <w:highlight w:val="none"/>
        </w:rPr>
      </w:pPr>
      <w:r>
        <w:rPr>
          <w:rFonts w:hint="eastAsia" w:ascii="宋体" w:hAnsi="宋体" w:eastAsia="宋体" w:cs="宋体"/>
          <w:bCs/>
          <w:sz w:val="24"/>
          <w:highlight w:val="none"/>
        </w:rPr>
        <w:t>姓名：</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性别：</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年龄：</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职务：</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系</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（投标单位名称）的法定代表人（单位负责人）。</w:t>
      </w:r>
    </w:p>
    <w:p>
      <w:pPr>
        <w:spacing w:line="440" w:lineRule="exact"/>
        <w:ind w:firstLine="480" w:firstLineChars="200"/>
        <w:outlineLvl w:val="0"/>
        <w:rPr>
          <w:rFonts w:hint="eastAsia" w:ascii="宋体" w:hAnsi="宋体" w:eastAsia="宋体" w:cs="宋体"/>
          <w:bCs/>
          <w:sz w:val="24"/>
          <w:highlight w:val="none"/>
        </w:rPr>
      </w:pPr>
      <w:r>
        <w:rPr>
          <w:rFonts w:hint="eastAsia" w:ascii="宋体" w:hAnsi="宋体" w:eastAsia="宋体" w:cs="宋体"/>
          <w:bCs/>
          <w:sz w:val="24"/>
          <w:highlight w:val="none"/>
        </w:rPr>
        <w:t>特此证明。</w:t>
      </w:r>
    </w:p>
    <w:p>
      <w:pPr>
        <w:spacing w:line="440" w:lineRule="exact"/>
        <w:ind w:firstLine="480" w:firstLineChars="200"/>
        <w:outlineLvl w:val="0"/>
        <w:rPr>
          <w:rFonts w:hint="eastAsia" w:ascii="宋体" w:hAnsi="宋体" w:eastAsia="宋体" w:cs="宋体"/>
          <w:bCs/>
          <w:sz w:val="24"/>
          <w:highlight w:val="none"/>
        </w:rPr>
      </w:pPr>
    </w:p>
    <w:p>
      <w:pPr>
        <w:autoSpaceDE w:val="0"/>
        <w:autoSpaceDN w:val="0"/>
        <w:adjustRightInd w:val="0"/>
        <w:spacing w:line="240" w:lineRule="atLeast"/>
        <w:jc w:val="center"/>
        <w:rPr>
          <w:rFonts w:ascii="Times New Roman" w:hAnsi="Times New Roman"/>
          <w:kern w:val="0"/>
          <w:sz w:val="24"/>
          <w:szCs w:val="24"/>
          <w:highlight w:val="none"/>
        </w:rPr>
      </w:pPr>
    </w:p>
    <w:p>
      <w:pPr>
        <w:autoSpaceDE w:val="0"/>
        <w:autoSpaceDN w:val="0"/>
        <w:adjustRightInd w:val="0"/>
        <w:spacing w:line="240" w:lineRule="atLeast"/>
        <w:jc w:val="center"/>
        <w:rPr>
          <w:rFonts w:ascii="Times New Roman" w:hAnsi="Times New Roman"/>
          <w:kern w:val="0"/>
          <w:sz w:val="24"/>
          <w:szCs w:val="24"/>
          <w:highlight w:val="none"/>
        </w:rPr>
      </w:pPr>
      <w:r>
        <w:rPr>
          <w:highlight w:val="none"/>
        </w:rPr>
        <w:drawing>
          <wp:inline distT="0" distB="0" distL="114300" distR="114300">
            <wp:extent cx="4514850" cy="2990850"/>
            <wp:effectExtent l="0" t="0" r="0" b="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0"/>
                    <a:stretch>
                      <a:fillRect/>
                    </a:stretch>
                  </pic:blipFill>
                  <pic:spPr>
                    <a:xfrm>
                      <a:off x="0" y="0"/>
                      <a:ext cx="4514850" cy="2990850"/>
                    </a:xfrm>
                    <a:prstGeom prst="rect">
                      <a:avLst/>
                    </a:prstGeom>
                    <a:noFill/>
                    <a:ln>
                      <a:noFill/>
                    </a:ln>
                  </pic:spPr>
                </pic:pic>
              </a:graphicData>
            </a:graphic>
          </wp:inline>
        </w:drawing>
      </w:r>
    </w:p>
    <w:p>
      <w:pPr>
        <w:autoSpaceDE w:val="0"/>
        <w:autoSpaceDN w:val="0"/>
        <w:adjustRightInd w:val="0"/>
        <w:spacing w:line="240" w:lineRule="atLeast"/>
        <w:jc w:val="center"/>
        <w:rPr>
          <w:rFonts w:ascii="Times New Roman" w:hAnsi="Times New Roman"/>
          <w:kern w:val="0"/>
          <w:sz w:val="24"/>
          <w:szCs w:val="24"/>
          <w:highlight w:val="none"/>
        </w:rPr>
      </w:pPr>
    </w:p>
    <w:p>
      <w:pPr>
        <w:spacing w:line="440" w:lineRule="exact"/>
        <w:ind w:firstLine="480" w:firstLineChars="200"/>
        <w:outlineLvl w:val="0"/>
        <w:rPr>
          <w:rFonts w:hint="eastAsia" w:ascii="宋体" w:hAnsi="宋体" w:eastAsia="宋体" w:cs="宋体"/>
          <w:bCs/>
          <w:sz w:val="24"/>
          <w:highlight w:val="none"/>
        </w:rPr>
      </w:pPr>
    </w:p>
    <w:p>
      <w:pPr>
        <w:spacing w:line="440" w:lineRule="exact"/>
        <w:ind w:firstLine="4320" w:firstLineChars="1800"/>
        <w:outlineLvl w:val="0"/>
        <w:rPr>
          <w:rFonts w:hint="eastAsia" w:ascii="宋体" w:hAnsi="宋体" w:eastAsia="宋体" w:cs="宋体"/>
          <w:bCs/>
          <w:sz w:val="24"/>
          <w:highlight w:val="none"/>
        </w:rPr>
      </w:pPr>
      <w:r>
        <w:rPr>
          <w:rFonts w:hint="eastAsia" w:ascii="宋体" w:hAnsi="宋体" w:eastAsia="宋体" w:cs="宋体"/>
          <w:bCs/>
          <w:sz w:val="24"/>
          <w:highlight w:val="none"/>
        </w:rPr>
        <w:t>投标人：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rPr>
        <w:tab/>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（单位公章）</w:t>
      </w:r>
    </w:p>
    <w:p>
      <w:pPr>
        <w:spacing w:line="440" w:lineRule="exact"/>
        <w:ind w:firstLine="5520" w:firstLineChars="2300"/>
        <w:outlineLvl w:val="0"/>
        <w:rPr>
          <w:rFonts w:hint="eastAsia" w:ascii="宋体" w:hAnsi="宋体" w:eastAsia="宋体" w:cs="宋体"/>
          <w:bCs/>
          <w:sz w:val="24"/>
          <w:highlight w:val="none"/>
        </w:rPr>
      </w:pP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rPr>
        <w:tab/>
      </w:r>
      <w:r>
        <w:rPr>
          <w:rFonts w:hint="eastAsia" w:ascii="宋体" w:hAnsi="宋体" w:eastAsia="宋体" w:cs="宋体"/>
          <w:bCs/>
          <w:sz w:val="24"/>
          <w:highlight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w:t>
      </w:r>
    </w:p>
    <w:p>
      <w:pPr>
        <w:spacing w:line="440" w:lineRule="exact"/>
        <w:outlineLvl w:val="0"/>
        <w:rPr>
          <w:rFonts w:hint="eastAsia" w:ascii="宋体" w:hAnsi="宋体" w:eastAsia="宋体" w:cs="宋体"/>
          <w:bCs/>
          <w:szCs w:val="21"/>
          <w:highlight w:val="none"/>
        </w:rPr>
      </w:pPr>
    </w:p>
    <w:p>
      <w:pPr>
        <w:spacing w:line="440" w:lineRule="exact"/>
        <w:outlineLvl w:val="0"/>
        <w:rPr>
          <w:b/>
          <w:bCs/>
          <w:kern w:val="0"/>
          <w:sz w:val="36"/>
          <w:szCs w:val="36"/>
          <w:highlight w:val="none"/>
        </w:rPr>
      </w:pPr>
      <w:r>
        <w:rPr>
          <w:rFonts w:hint="eastAsia" w:ascii="宋体" w:hAnsi="宋体" w:eastAsia="宋体" w:cs="宋体"/>
          <w:b/>
          <w:color w:val="FF0000"/>
          <w:szCs w:val="21"/>
          <w:highlight w:val="none"/>
        </w:rPr>
        <w:t>注：本表适用于法定代表人直接参加投标的。</w:t>
      </w:r>
    </w:p>
    <w:p>
      <w:pPr>
        <w:spacing w:line="360" w:lineRule="auto"/>
        <w:jc w:val="center"/>
        <w:rPr>
          <w:b/>
          <w:bCs/>
          <w:kern w:val="0"/>
          <w:sz w:val="36"/>
          <w:szCs w:val="36"/>
          <w:highlight w:val="none"/>
        </w:rPr>
      </w:pPr>
      <w:r>
        <w:rPr>
          <w:rFonts w:hint="eastAsia"/>
          <w:b/>
          <w:bCs/>
          <w:kern w:val="0"/>
          <w:sz w:val="36"/>
          <w:szCs w:val="36"/>
          <w:highlight w:val="none"/>
        </w:rPr>
        <w:t>4、法人委托书</w:t>
      </w:r>
    </w:p>
    <w:p>
      <w:pPr>
        <w:adjustRightInd w:val="0"/>
        <w:snapToGrid w:val="0"/>
        <w:spacing w:line="360" w:lineRule="auto"/>
        <w:ind w:firstLine="480" w:firstLineChars="200"/>
        <w:jc w:val="left"/>
        <w:rPr>
          <w:rFonts w:hint="default" w:ascii="Times New Roman" w:hAnsi="Times New Roman" w:eastAsia="宋体" w:cs="Times New Roman"/>
          <w:sz w:val="24"/>
          <w:szCs w:val="28"/>
          <w:highlight w:val="none"/>
          <w:lang w:val="en-US" w:eastAsia="zh-CN"/>
        </w:rPr>
      </w:pPr>
      <w:r>
        <w:rPr>
          <w:rFonts w:ascii="Times New Roman" w:hAnsi="Times New Roman" w:eastAsia="宋体" w:cs="Times New Roman"/>
          <w:sz w:val="24"/>
          <w:szCs w:val="28"/>
          <w:highlight w:val="none"/>
        </w:rPr>
        <w:t>本人</w:t>
      </w:r>
      <w:r>
        <w:rPr>
          <w:rFonts w:ascii="Times New Roman" w:hAnsi="Times New Roman" w:eastAsia="宋体" w:cs="Times New Roman"/>
          <w:sz w:val="24"/>
          <w:szCs w:val="28"/>
          <w:highlight w:val="none"/>
          <w:u w:val="single"/>
        </w:rPr>
        <w:t xml:space="preserve">       </w:t>
      </w:r>
      <w:r>
        <w:rPr>
          <w:rFonts w:ascii="Times New Roman" w:hAnsi="Times New Roman" w:eastAsia="宋体" w:cs="Times New Roman"/>
          <w:sz w:val="24"/>
          <w:szCs w:val="28"/>
          <w:highlight w:val="none"/>
        </w:rPr>
        <w:t>（姓名）系</w:t>
      </w:r>
      <w:r>
        <w:rPr>
          <w:rFonts w:ascii="Times New Roman" w:hAnsi="Times New Roman" w:eastAsia="宋体" w:cs="Times New Roman"/>
          <w:sz w:val="24"/>
          <w:szCs w:val="28"/>
          <w:highlight w:val="none"/>
          <w:u w:val="single"/>
        </w:rPr>
        <w:t xml:space="preserve">          </w:t>
      </w:r>
      <w:r>
        <w:rPr>
          <w:rFonts w:ascii="Times New Roman" w:hAnsi="Times New Roman" w:eastAsia="宋体" w:cs="Times New Roman"/>
          <w:sz w:val="24"/>
          <w:szCs w:val="28"/>
          <w:highlight w:val="none"/>
        </w:rPr>
        <w:t>（</w:t>
      </w:r>
      <w:r>
        <w:rPr>
          <w:rFonts w:hint="eastAsia" w:ascii="Times New Roman" w:hAnsi="Times New Roman" w:eastAsia="宋体" w:cs="Times New Roman"/>
          <w:sz w:val="24"/>
          <w:szCs w:val="28"/>
          <w:highlight w:val="none"/>
        </w:rPr>
        <w:t>投标</w:t>
      </w:r>
      <w:r>
        <w:rPr>
          <w:rFonts w:ascii="Times New Roman" w:hAnsi="Times New Roman" w:eastAsia="宋体" w:cs="Times New Roman"/>
          <w:sz w:val="24"/>
          <w:szCs w:val="28"/>
          <w:highlight w:val="none"/>
        </w:rPr>
        <w:t>人名称）的法定代表人，现委托</w:t>
      </w:r>
      <w:r>
        <w:rPr>
          <w:rFonts w:ascii="Times New Roman" w:hAnsi="Times New Roman" w:eastAsia="宋体" w:cs="Times New Roman"/>
          <w:sz w:val="24"/>
          <w:szCs w:val="28"/>
          <w:highlight w:val="none"/>
          <w:u w:val="single"/>
        </w:rPr>
        <w:t xml:space="preserve">      </w:t>
      </w:r>
      <w:r>
        <w:rPr>
          <w:rFonts w:ascii="Times New Roman" w:hAnsi="Times New Roman" w:eastAsia="宋体" w:cs="Times New Roman"/>
          <w:sz w:val="24"/>
          <w:szCs w:val="28"/>
          <w:highlight w:val="none"/>
        </w:rPr>
        <w:t>（姓名）为我方代理人。代理人根据授权，以我方名义参加、签署、澄清、说明、补正、递交、撤回、修改</w:t>
      </w:r>
      <w:r>
        <w:rPr>
          <w:rFonts w:hint="eastAsia" w:ascii="Times New Roman" w:hAnsi="Times New Roman" w:eastAsia="宋体" w:cs="Times New Roman"/>
          <w:sz w:val="24"/>
          <w:szCs w:val="28"/>
          <w:highlight w:val="none"/>
          <w:u w:val="single"/>
          <w:lang w:val="en-US" w:eastAsia="zh-CN"/>
        </w:rPr>
        <w:t>大荔牧场</w:t>
      </w:r>
      <w:r>
        <w:rPr>
          <w:rFonts w:hint="eastAsia" w:ascii="Times New Roman" w:hAnsi="Times New Roman" w:eastAsia="宋体" w:cs="Times New Roman"/>
          <w:sz w:val="24"/>
          <w:szCs w:val="28"/>
          <w:highlight w:val="none"/>
          <w:u w:val="single"/>
        </w:rPr>
        <w:t>卸料及倒料劳务外包项目</w:t>
      </w:r>
      <w:r>
        <w:rPr>
          <w:rFonts w:ascii="Times New Roman" w:hAnsi="Times New Roman" w:eastAsia="宋体" w:cs="Times New Roman"/>
          <w:sz w:val="24"/>
          <w:szCs w:val="28"/>
          <w:highlight w:val="none"/>
        </w:rPr>
        <w:t>资格申请文件等有关事宜，其法律后果由我方承担。</w:t>
      </w:r>
    </w:p>
    <w:p>
      <w:pPr>
        <w:adjustRightInd w:val="0"/>
        <w:snapToGrid w:val="0"/>
        <w:spacing w:line="360" w:lineRule="auto"/>
        <w:ind w:firstLine="480" w:firstLineChars="200"/>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委托期限：</w:t>
      </w:r>
      <w:r>
        <w:rPr>
          <w:rFonts w:ascii="Times New Roman" w:hAnsi="Times New Roman" w:eastAsia="宋体" w:cs="Times New Roman"/>
          <w:sz w:val="24"/>
          <w:szCs w:val="28"/>
          <w:highlight w:val="none"/>
          <w:u w:val="single"/>
        </w:rPr>
        <w:t xml:space="preserve">               </w:t>
      </w:r>
      <w:r>
        <w:rPr>
          <w:rFonts w:ascii="Times New Roman" w:hAnsi="Times New Roman" w:eastAsia="宋体" w:cs="Times New Roman"/>
          <w:sz w:val="24"/>
          <w:szCs w:val="28"/>
          <w:highlight w:val="none"/>
        </w:rPr>
        <w:t>（自开标时间起不得少于90日历天）</w:t>
      </w:r>
    </w:p>
    <w:p>
      <w:pPr>
        <w:adjustRightInd w:val="0"/>
        <w:snapToGrid w:val="0"/>
        <w:spacing w:line="360" w:lineRule="auto"/>
        <w:ind w:firstLine="480" w:firstLineChars="200"/>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代理人无转委托权。</w:t>
      </w:r>
    </w:p>
    <w:tbl>
      <w:tblPr>
        <w:tblStyle w:val="13"/>
        <w:tblpPr w:leftFromText="180" w:rightFromText="180" w:vertAnchor="text" w:horzAnchor="page" w:tblpX="1694" w:tblpY="3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4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8" w:hRule="exact"/>
        </w:trPr>
        <w:tc>
          <w:tcPr>
            <w:tcW w:w="4308" w:type="dxa"/>
            <w:tcBorders>
              <w:bottom w:val="dashed" w:color="auto" w:sz="4" w:space="0"/>
              <w:right w:val="dashed" w:color="auto" w:sz="4" w:space="0"/>
            </w:tcBorders>
          </w:tcPr>
          <w:p>
            <w:pPr>
              <w:spacing w:line="360" w:lineRule="auto"/>
              <w:ind w:firstLine="480" w:firstLineChars="200"/>
              <w:rPr>
                <w:rFonts w:ascii="Times New Roman" w:hAnsi="Times New Roman" w:eastAsia="宋体" w:cs="Times New Roman"/>
                <w:sz w:val="24"/>
                <w:highlight w:val="none"/>
              </w:rPr>
            </w:pPr>
          </w:p>
          <w:p>
            <w:pPr>
              <w:spacing w:line="360" w:lineRule="auto"/>
              <w:ind w:firstLine="480" w:firstLineChars="200"/>
              <w:rPr>
                <w:rFonts w:ascii="Times New Roman" w:hAnsi="Times New Roman" w:eastAsia="宋体" w:cs="Times New Roman"/>
                <w:sz w:val="24"/>
                <w:highlight w:val="none"/>
              </w:rPr>
            </w:pPr>
          </w:p>
          <w:p>
            <w:pPr>
              <w:spacing w:line="360" w:lineRule="auto"/>
              <w:ind w:firstLine="1080" w:firstLineChars="450"/>
              <w:rPr>
                <w:rFonts w:ascii="Times New Roman" w:hAnsi="Times New Roman" w:eastAsia="宋体" w:cs="Times New Roman"/>
                <w:sz w:val="24"/>
                <w:highlight w:val="none"/>
              </w:rPr>
            </w:pPr>
            <w:r>
              <w:rPr>
                <w:rFonts w:ascii="Times New Roman" w:hAnsi="Times New Roman" w:eastAsia="宋体" w:cs="Times New Roman"/>
                <w:sz w:val="24"/>
                <w:highlight w:val="none"/>
              </w:rPr>
              <w:t>法定代表人身份证扫描件</w:t>
            </w:r>
          </w:p>
          <w:p>
            <w:pPr>
              <w:spacing w:line="360" w:lineRule="auto"/>
              <w:ind w:firstLine="1800" w:firstLineChars="750"/>
              <w:rPr>
                <w:rFonts w:ascii="Times New Roman" w:hAnsi="Times New Roman" w:eastAsia="宋体" w:cs="Times New Roman"/>
                <w:sz w:val="24"/>
                <w:highlight w:val="none"/>
              </w:rPr>
            </w:pPr>
            <w:r>
              <w:rPr>
                <w:rFonts w:ascii="Times New Roman" w:hAnsi="Times New Roman" w:eastAsia="宋体" w:cs="Times New Roman"/>
                <w:sz w:val="24"/>
                <w:highlight w:val="none"/>
              </w:rPr>
              <w:t>（正面）</w:t>
            </w:r>
          </w:p>
          <w:p>
            <w:pPr>
              <w:spacing w:line="360" w:lineRule="auto"/>
              <w:ind w:firstLine="480" w:firstLineChars="200"/>
              <w:rPr>
                <w:rFonts w:ascii="Times New Roman" w:hAnsi="Times New Roman" w:eastAsia="宋体" w:cs="Times New Roman"/>
                <w:sz w:val="24"/>
                <w:highlight w:val="none"/>
              </w:rPr>
            </w:pPr>
          </w:p>
          <w:p>
            <w:pPr>
              <w:spacing w:line="360" w:lineRule="auto"/>
              <w:ind w:firstLine="480" w:firstLineChars="200"/>
              <w:rPr>
                <w:rFonts w:ascii="Times New Roman" w:hAnsi="Times New Roman" w:eastAsia="宋体" w:cs="Times New Roman"/>
                <w:sz w:val="24"/>
                <w:highlight w:val="none"/>
              </w:rPr>
            </w:pPr>
          </w:p>
          <w:p>
            <w:pPr>
              <w:spacing w:line="360" w:lineRule="auto"/>
              <w:ind w:firstLine="480" w:firstLineChars="200"/>
              <w:rPr>
                <w:rFonts w:ascii="Times New Roman" w:hAnsi="Times New Roman" w:eastAsia="宋体" w:cs="Times New Roman"/>
                <w:sz w:val="24"/>
                <w:highlight w:val="none"/>
              </w:rPr>
            </w:pPr>
          </w:p>
        </w:tc>
        <w:tc>
          <w:tcPr>
            <w:tcW w:w="4632" w:type="dxa"/>
            <w:tcBorders>
              <w:left w:val="dashed" w:color="auto" w:sz="4" w:space="0"/>
              <w:bottom w:val="dashed" w:color="auto" w:sz="4" w:space="0"/>
            </w:tcBorders>
          </w:tcPr>
          <w:p>
            <w:pPr>
              <w:widowControl/>
              <w:jc w:val="left"/>
              <w:rPr>
                <w:rFonts w:ascii="Times New Roman" w:hAnsi="Times New Roman" w:eastAsia="宋体" w:cs="Times New Roman"/>
                <w:sz w:val="24"/>
                <w:highlight w:val="none"/>
              </w:rPr>
            </w:pPr>
          </w:p>
          <w:p>
            <w:pPr>
              <w:spacing w:line="360" w:lineRule="auto"/>
              <w:rPr>
                <w:rFonts w:ascii="Times New Roman" w:hAnsi="Times New Roman" w:eastAsia="宋体" w:cs="Times New Roman"/>
                <w:sz w:val="24"/>
                <w:highlight w:val="none"/>
              </w:rPr>
            </w:pPr>
          </w:p>
          <w:p>
            <w:pPr>
              <w:spacing w:line="360" w:lineRule="auto"/>
              <w:ind w:firstLine="1080" w:firstLineChars="450"/>
              <w:rPr>
                <w:rFonts w:ascii="Times New Roman" w:hAnsi="Times New Roman" w:eastAsia="宋体" w:cs="Times New Roman"/>
                <w:sz w:val="24"/>
                <w:highlight w:val="none"/>
              </w:rPr>
            </w:pPr>
            <w:r>
              <w:rPr>
                <w:rFonts w:ascii="Times New Roman" w:hAnsi="Times New Roman" w:eastAsia="宋体" w:cs="Times New Roman"/>
                <w:sz w:val="24"/>
                <w:highlight w:val="none"/>
              </w:rPr>
              <w:t>委托代理人身份证扫描件</w:t>
            </w:r>
          </w:p>
          <w:p>
            <w:pPr>
              <w:spacing w:line="360" w:lineRule="auto"/>
              <w:ind w:firstLine="1800" w:firstLineChars="750"/>
              <w:rPr>
                <w:rFonts w:ascii="Times New Roman" w:hAnsi="Times New Roman" w:eastAsia="宋体" w:cs="Times New Roman"/>
                <w:sz w:val="24"/>
                <w:highlight w:val="none"/>
              </w:rPr>
            </w:pPr>
            <w:r>
              <w:rPr>
                <w:rFonts w:ascii="Times New Roman" w:hAnsi="Times New Roman" w:eastAsia="宋体" w:cs="Times New Roman"/>
                <w:sz w:val="24"/>
                <w:highlight w:val="none"/>
              </w:rPr>
              <w:t>（正面）</w:t>
            </w:r>
          </w:p>
          <w:p>
            <w:pPr>
              <w:widowControl/>
              <w:jc w:val="left"/>
              <w:rPr>
                <w:rFonts w:ascii="Times New Roman" w:hAnsi="Times New Roman" w:eastAsia="宋体" w:cs="Times New Roman"/>
                <w:sz w:val="24"/>
                <w:highlight w:val="none"/>
              </w:rPr>
            </w:pPr>
          </w:p>
          <w:p>
            <w:pPr>
              <w:widowControl/>
              <w:jc w:val="left"/>
              <w:rPr>
                <w:rFonts w:ascii="Times New Roman" w:hAnsi="Times New Roman" w:eastAsia="宋体" w:cs="Times New Roman"/>
                <w:sz w:val="24"/>
                <w:highlight w:val="none"/>
              </w:rPr>
            </w:pPr>
          </w:p>
          <w:p>
            <w:pPr>
              <w:spacing w:line="360" w:lineRule="auto"/>
              <w:rPr>
                <w:rFonts w:ascii="Times New Roman" w:hAnsi="Times New Roman"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3" w:hRule="exact"/>
        </w:trPr>
        <w:tc>
          <w:tcPr>
            <w:tcW w:w="4308" w:type="dxa"/>
            <w:tcBorders>
              <w:top w:val="dashed" w:color="auto" w:sz="4" w:space="0"/>
              <w:right w:val="dashed" w:color="auto" w:sz="4" w:space="0"/>
            </w:tcBorders>
          </w:tcPr>
          <w:p>
            <w:pPr>
              <w:spacing w:line="360" w:lineRule="auto"/>
              <w:ind w:firstLine="480" w:firstLineChars="200"/>
              <w:rPr>
                <w:rFonts w:ascii="Times New Roman" w:hAnsi="Times New Roman" w:eastAsia="宋体" w:cs="Times New Roman"/>
                <w:sz w:val="24"/>
                <w:highlight w:val="none"/>
              </w:rPr>
            </w:pPr>
          </w:p>
          <w:p>
            <w:pPr>
              <w:spacing w:line="360" w:lineRule="auto"/>
              <w:ind w:firstLine="480" w:firstLineChars="200"/>
              <w:rPr>
                <w:rFonts w:ascii="Times New Roman" w:hAnsi="Times New Roman" w:eastAsia="宋体" w:cs="Times New Roman"/>
                <w:sz w:val="24"/>
                <w:highlight w:val="none"/>
              </w:rPr>
            </w:pPr>
          </w:p>
          <w:p>
            <w:pPr>
              <w:spacing w:line="360" w:lineRule="auto"/>
              <w:ind w:firstLine="1080" w:firstLineChars="450"/>
              <w:rPr>
                <w:rFonts w:ascii="Times New Roman" w:hAnsi="Times New Roman" w:eastAsia="宋体" w:cs="Times New Roman"/>
                <w:sz w:val="24"/>
                <w:highlight w:val="none"/>
              </w:rPr>
            </w:pPr>
            <w:r>
              <w:rPr>
                <w:rFonts w:ascii="Times New Roman" w:hAnsi="Times New Roman" w:eastAsia="宋体" w:cs="Times New Roman"/>
                <w:sz w:val="24"/>
                <w:highlight w:val="none"/>
              </w:rPr>
              <w:t>法定代表人身份证扫描件</w:t>
            </w:r>
          </w:p>
          <w:p>
            <w:pPr>
              <w:spacing w:line="360" w:lineRule="auto"/>
              <w:ind w:firstLine="1800" w:firstLineChars="750"/>
              <w:rPr>
                <w:rFonts w:ascii="Times New Roman" w:hAnsi="Times New Roman" w:eastAsia="宋体" w:cs="Times New Roman"/>
                <w:sz w:val="24"/>
                <w:highlight w:val="none"/>
              </w:rPr>
            </w:pPr>
            <w:r>
              <w:rPr>
                <w:rFonts w:ascii="Times New Roman" w:hAnsi="Times New Roman" w:eastAsia="宋体" w:cs="Times New Roman"/>
                <w:sz w:val="24"/>
                <w:highlight w:val="none"/>
              </w:rPr>
              <w:t>（背面）</w:t>
            </w:r>
          </w:p>
          <w:p>
            <w:pPr>
              <w:spacing w:line="360" w:lineRule="auto"/>
              <w:ind w:firstLine="480" w:firstLineChars="200"/>
              <w:rPr>
                <w:rFonts w:ascii="Times New Roman" w:hAnsi="Times New Roman" w:eastAsia="宋体" w:cs="Times New Roman"/>
                <w:sz w:val="24"/>
                <w:highlight w:val="none"/>
              </w:rPr>
            </w:pPr>
          </w:p>
          <w:p>
            <w:pPr>
              <w:spacing w:line="360" w:lineRule="auto"/>
              <w:ind w:firstLine="480" w:firstLineChars="200"/>
              <w:rPr>
                <w:rFonts w:ascii="Times New Roman" w:hAnsi="Times New Roman" w:eastAsia="宋体" w:cs="Times New Roman"/>
                <w:sz w:val="24"/>
                <w:highlight w:val="none"/>
              </w:rPr>
            </w:pPr>
          </w:p>
          <w:p>
            <w:pPr>
              <w:spacing w:line="360" w:lineRule="auto"/>
              <w:ind w:firstLine="480" w:firstLineChars="200"/>
              <w:rPr>
                <w:rFonts w:ascii="Times New Roman" w:hAnsi="Times New Roman" w:eastAsia="宋体" w:cs="Times New Roman"/>
                <w:sz w:val="24"/>
                <w:highlight w:val="none"/>
              </w:rPr>
            </w:pPr>
          </w:p>
        </w:tc>
        <w:tc>
          <w:tcPr>
            <w:tcW w:w="4632" w:type="dxa"/>
            <w:tcBorders>
              <w:top w:val="dashed" w:color="auto" w:sz="4" w:space="0"/>
              <w:left w:val="dashed" w:color="auto" w:sz="4" w:space="0"/>
            </w:tcBorders>
          </w:tcPr>
          <w:p>
            <w:pPr>
              <w:widowControl/>
              <w:jc w:val="left"/>
              <w:rPr>
                <w:rFonts w:ascii="Times New Roman" w:hAnsi="Times New Roman" w:eastAsia="宋体" w:cs="Times New Roman"/>
                <w:sz w:val="24"/>
                <w:highlight w:val="none"/>
              </w:rPr>
            </w:pPr>
          </w:p>
          <w:p>
            <w:pPr>
              <w:widowControl/>
              <w:jc w:val="left"/>
              <w:rPr>
                <w:rFonts w:ascii="Times New Roman" w:hAnsi="Times New Roman" w:eastAsia="宋体" w:cs="Times New Roman"/>
                <w:sz w:val="24"/>
                <w:highlight w:val="none"/>
              </w:rPr>
            </w:pPr>
          </w:p>
          <w:p>
            <w:pPr>
              <w:spacing w:line="360" w:lineRule="auto"/>
              <w:ind w:firstLine="1080" w:firstLineChars="450"/>
              <w:rPr>
                <w:rFonts w:ascii="Times New Roman" w:hAnsi="Times New Roman" w:eastAsia="宋体" w:cs="Times New Roman"/>
                <w:sz w:val="24"/>
                <w:highlight w:val="none"/>
              </w:rPr>
            </w:pPr>
            <w:r>
              <w:rPr>
                <w:rFonts w:ascii="Times New Roman" w:hAnsi="Times New Roman" w:eastAsia="宋体" w:cs="Times New Roman"/>
                <w:sz w:val="24"/>
                <w:highlight w:val="none"/>
              </w:rPr>
              <w:t>委托代理人身份证扫描件</w:t>
            </w:r>
          </w:p>
          <w:p>
            <w:pPr>
              <w:spacing w:line="360" w:lineRule="auto"/>
              <w:ind w:firstLine="1800" w:firstLineChars="750"/>
              <w:rPr>
                <w:rFonts w:ascii="Times New Roman" w:hAnsi="Times New Roman" w:eastAsia="宋体" w:cs="Times New Roman"/>
                <w:sz w:val="24"/>
                <w:highlight w:val="none"/>
              </w:rPr>
            </w:pPr>
            <w:r>
              <w:rPr>
                <w:rFonts w:ascii="Times New Roman" w:hAnsi="Times New Roman" w:eastAsia="宋体" w:cs="Times New Roman"/>
                <w:sz w:val="24"/>
                <w:highlight w:val="none"/>
              </w:rPr>
              <w:t>（背面）</w:t>
            </w:r>
          </w:p>
        </w:tc>
      </w:tr>
    </w:tbl>
    <w:p>
      <w:pPr>
        <w:adjustRightInd w:val="0"/>
        <w:snapToGrid w:val="0"/>
        <w:spacing w:line="360" w:lineRule="auto"/>
        <w:rPr>
          <w:rFonts w:ascii="Times New Roman" w:hAnsi="Times New Roman" w:eastAsia="宋体" w:cs="Times New Roman"/>
          <w:sz w:val="24"/>
          <w:szCs w:val="28"/>
          <w:highlight w:val="none"/>
        </w:rPr>
      </w:pPr>
      <w:r>
        <w:rPr>
          <w:rFonts w:hint="eastAsia" w:ascii="Times New Roman" w:hAnsi="Times New Roman" w:eastAsia="宋体" w:cs="Times New Roman"/>
          <w:sz w:val="24"/>
          <w:szCs w:val="28"/>
          <w:highlight w:val="none"/>
        </w:rPr>
        <w:t>投标</w:t>
      </w:r>
      <w:r>
        <w:rPr>
          <w:rFonts w:ascii="Times New Roman" w:hAnsi="Times New Roman" w:eastAsia="宋体" w:cs="Times New Roman"/>
          <w:sz w:val="24"/>
          <w:szCs w:val="28"/>
          <w:highlight w:val="none"/>
        </w:rPr>
        <w:t>人名称：</w:t>
      </w:r>
      <w:r>
        <w:rPr>
          <w:rFonts w:ascii="Times New Roman" w:hAnsi="Times New Roman" w:eastAsia="宋体" w:cs="Times New Roman"/>
          <w:sz w:val="24"/>
          <w:szCs w:val="28"/>
          <w:highlight w:val="none"/>
          <w:u w:val="single"/>
        </w:rPr>
        <w:t xml:space="preserve">                        </w:t>
      </w:r>
      <w:r>
        <w:rPr>
          <w:rFonts w:ascii="Times New Roman" w:hAnsi="Times New Roman" w:eastAsia="宋体" w:cs="Times New Roman"/>
          <w:sz w:val="24"/>
          <w:szCs w:val="28"/>
          <w:highlight w:val="none"/>
        </w:rPr>
        <w:t>（公章）</w:t>
      </w:r>
    </w:p>
    <w:p>
      <w:pPr>
        <w:adjustRightInd w:val="0"/>
        <w:snapToGrid w:val="0"/>
        <w:spacing w:line="360" w:lineRule="auto"/>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法定代表人：</w:t>
      </w:r>
      <w:r>
        <w:rPr>
          <w:rFonts w:ascii="Times New Roman" w:hAnsi="Times New Roman" w:eastAsia="宋体" w:cs="Times New Roman"/>
          <w:sz w:val="24"/>
          <w:szCs w:val="28"/>
          <w:highlight w:val="none"/>
          <w:u w:val="single"/>
        </w:rPr>
        <w:t xml:space="preserve">                      </w:t>
      </w:r>
      <w:r>
        <w:rPr>
          <w:rFonts w:ascii="Times New Roman" w:hAnsi="Times New Roman" w:eastAsia="宋体" w:cs="Times New Roman"/>
          <w:sz w:val="24"/>
          <w:szCs w:val="28"/>
          <w:highlight w:val="none"/>
        </w:rPr>
        <w:t>（签字或盖章）</w:t>
      </w:r>
    </w:p>
    <w:p>
      <w:pPr>
        <w:adjustRightInd w:val="0"/>
        <w:snapToGrid w:val="0"/>
        <w:spacing w:line="360" w:lineRule="auto"/>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委托代理人：</w:t>
      </w:r>
      <w:r>
        <w:rPr>
          <w:rFonts w:ascii="Times New Roman" w:hAnsi="Times New Roman" w:eastAsia="宋体" w:cs="Times New Roman"/>
          <w:sz w:val="24"/>
          <w:szCs w:val="28"/>
          <w:highlight w:val="none"/>
          <w:u w:val="single"/>
        </w:rPr>
        <w:t xml:space="preserve">                      </w:t>
      </w:r>
      <w:r>
        <w:rPr>
          <w:rFonts w:ascii="Times New Roman" w:hAnsi="Times New Roman" w:eastAsia="宋体" w:cs="Times New Roman"/>
          <w:sz w:val="24"/>
          <w:szCs w:val="28"/>
          <w:highlight w:val="none"/>
        </w:rPr>
        <w:t>（签字或盖章）</w:t>
      </w:r>
    </w:p>
    <w:p>
      <w:pPr>
        <w:spacing w:line="360" w:lineRule="auto"/>
        <w:rPr>
          <w:rFonts w:hint="eastAsia" w:ascii="宋体" w:hAnsi="宋体" w:eastAsia="宋体" w:cs="宋体"/>
          <w:b/>
          <w:bCs/>
          <w:color w:val="000000"/>
          <w:kern w:val="0"/>
          <w:sz w:val="32"/>
          <w:szCs w:val="32"/>
          <w:highlight w:val="none"/>
        </w:rPr>
      </w:pPr>
      <w:r>
        <w:rPr>
          <w:rFonts w:ascii="Times New Roman" w:hAnsi="Times New Roman" w:eastAsia="宋体" w:cs="Times New Roman"/>
          <w:sz w:val="24"/>
          <w:szCs w:val="28"/>
          <w:highlight w:val="none"/>
        </w:rPr>
        <w:t>日  期：</w:t>
      </w:r>
      <w:r>
        <w:rPr>
          <w:rFonts w:hint="eastAsia" w:ascii="Times New Roman" w:hAnsi="Times New Roman" w:eastAsia="宋体" w:cs="Times New Roman"/>
          <w:sz w:val="24"/>
          <w:szCs w:val="28"/>
          <w:highlight w:val="none"/>
        </w:rPr>
        <w:t>202</w:t>
      </w:r>
      <w:r>
        <w:rPr>
          <w:rFonts w:hint="eastAsia" w:ascii="Times New Roman" w:hAnsi="Times New Roman" w:eastAsia="宋体" w:cs="Times New Roman"/>
          <w:sz w:val="24"/>
          <w:szCs w:val="28"/>
          <w:highlight w:val="none"/>
          <w:lang w:val="en-US" w:eastAsia="zh-CN"/>
        </w:rPr>
        <w:t>6</w:t>
      </w:r>
      <w:r>
        <w:rPr>
          <w:rFonts w:ascii="Times New Roman" w:hAnsi="Times New Roman" w:eastAsia="宋体" w:cs="Times New Roman"/>
          <w:sz w:val="24"/>
          <w:szCs w:val="28"/>
          <w:highlight w:val="none"/>
        </w:rPr>
        <w:t>年</w:t>
      </w:r>
      <w:r>
        <w:rPr>
          <w:rFonts w:ascii="Times New Roman" w:hAnsi="Times New Roman" w:eastAsia="宋体" w:cs="Times New Roman"/>
          <w:sz w:val="24"/>
          <w:szCs w:val="28"/>
          <w:highlight w:val="none"/>
          <w:u w:val="single"/>
        </w:rPr>
        <w:t xml:space="preserve">   </w:t>
      </w:r>
      <w:r>
        <w:rPr>
          <w:rFonts w:ascii="Times New Roman" w:hAnsi="Times New Roman" w:eastAsia="宋体" w:cs="Times New Roman"/>
          <w:sz w:val="24"/>
          <w:szCs w:val="28"/>
          <w:highlight w:val="none"/>
        </w:rPr>
        <w:t>月</w:t>
      </w:r>
      <w:r>
        <w:rPr>
          <w:rFonts w:ascii="Times New Roman" w:hAnsi="Times New Roman" w:eastAsia="宋体" w:cs="Times New Roman"/>
          <w:sz w:val="24"/>
          <w:szCs w:val="28"/>
          <w:highlight w:val="none"/>
          <w:u w:val="single"/>
        </w:rPr>
        <w:t xml:space="preserve">   </w:t>
      </w:r>
      <w:r>
        <w:rPr>
          <w:rFonts w:ascii="Times New Roman" w:hAnsi="Times New Roman" w:eastAsia="宋体" w:cs="Times New Roman"/>
          <w:sz w:val="24"/>
          <w:szCs w:val="28"/>
          <w:highlight w:val="none"/>
        </w:rPr>
        <w:t>日</w:t>
      </w:r>
    </w:p>
    <w:p>
      <w:pPr>
        <w:shd w:val="clear" w:color="auto" w:fill="FFFFFF"/>
        <w:spacing w:after="240" w:line="500" w:lineRule="exact"/>
        <w:jc w:val="both"/>
        <w:rPr>
          <w:rFonts w:hint="eastAsia" w:ascii="宋体" w:hAnsi="宋体" w:eastAsia="宋体" w:cs="宋体"/>
          <w:b/>
          <w:color w:val="FF0000"/>
          <w:szCs w:val="21"/>
          <w:highlight w:val="none"/>
        </w:rPr>
      </w:pPr>
      <w:r>
        <w:rPr>
          <w:rFonts w:hint="eastAsia" w:ascii="宋体" w:hAnsi="宋体" w:eastAsia="宋体" w:cs="宋体"/>
          <w:b/>
          <w:color w:val="FF0000"/>
          <w:szCs w:val="21"/>
          <w:highlight w:val="none"/>
        </w:rPr>
        <w:t>注：本表适用于法定代表人委托代理人参加投标的</w:t>
      </w:r>
    </w:p>
    <w:p>
      <w:pPr>
        <w:rPr>
          <w:rFonts w:hint="eastAsia" w:ascii="宋体" w:hAnsi="宋体" w:eastAsia="等线" w:cs="Times New Roman"/>
          <w:b/>
          <w:sz w:val="36"/>
          <w:szCs w:val="36"/>
          <w:highlight w:val="none"/>
        </w:rPr>
      </w:pPr>
      <w:r>
        <w:rPr>
          <w:rFonts w:hint="eastAsia" w:ascii="宋体" w:hAnsi="宋体" w:eastAsia="等线" w:cs="Times New Roman"/>
          <w:b/>
          <w:sz w:val="36"/>
          <w:szCs w:val="36"/>
          <w:highlight w:val="none"/>
        </w:rPr>
        <w:br w:type="page"/>
      </w:r>
    </w:p>
    <w:p>
      <w:pPr>
        <w:shd w:val="clear" w:color="auto" w:fill="FFFFFF"/>
        <w:spacing w:after="240" w:line="500" w:lineRule="exact"/>
        <w:jc w:val="center"/>
        <w:rPr>
          <w:rFonts w:hint="eastAsia" w:asciiTheme="majorEastAsia" w:hAnsiTheme="majorEastAsia" w:eastAsiaTheme="majorEastAsia" w:cstheme="majorEastAsia"/>
          <w:sz w:val="24"/>
          <w:highlight w:val="none"/>
          <w:u w:val="single"/>
        </w:rPr>
      </w:pPr>
      <w:r>
        <w:rPr>
          <w:rFonts w:hint="eastAsia" w:asciiTheme="majorEastAsia" w:hAnsiTheme="majorEastAsia" w:eastAsiaTheme="majorEastAsia" w:cstheme="majorEastAsia"/>
          <w:b/>
          <w:sz w:val="36"/>
          <w:szCs w:val="36"/>
          <w:highlight w:val="none"/>
        </w:rPr>
        <w:t>5、投标承诺书</w:t>
      </w:r>
    </w:p>
    <w:p>
      <w:pPr>
        <w:shd w:val="clear" w:color="auto" w:fill="FFFFFF"/>
        <w:spacing w:line="50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highlight w:val="none"/>
          <w:u w:val="single"/>
        </w:rPr>
        <w:t> </w:t>
      </w:r>
      <w:r>
        <w:rPr>
          <w:rFonts w:hint="eastAsia" w:asciiTheme="majorEastAsia" w:hAnsiTheme="majorEastAsia" w:eastAsiaTheme="majorEastAsia" w:cstheme="majorEastAsia"/>
          <w:sz w:val="24"/>
          <w:szCs w:val="24"/>
          <w:highlight w:val="none"/>
          <w:u w:val="single"/>
        </w:rPr>
        <w:t>中垦牧（陕西）牧业有限公司</w:t>
      </w:r>
      <w:r>
        <w:rPr>
          <w:rFonts w:hint="eastAsia" w:asciiTheme="majorEastAsia" w:hAnsiTheme="majorEastAsia" w:eastAsiaTheme="majorEastAsia" w:cstheme="majorEastAsia"/>
          <w:sz w:val="24"/>
          <w:szCs w:val="24"/>
          <w:highlight w:val="none"/>
        </w:rPr>
        <w:t> ：</w:t>
      </w:r>
    </w:p>
    <w:p>
      <w:pPr>
        <w:spacing w:line="60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我方根据你方发出的</w:t>
      </w:r>
      <w:r>
        <w:rPr>
          <w:rFonts w:hint="eastAsia" w:asciiTheme="majorEastAsia" w:hAnsiTheme="majorEastAsia" w:eastAsiaTheme="majorEastAsia" w:cstheme="majorEastAsia"/>
          <w:sz w:val="24"/>
          <w:szCs w:val="24"/>
          <w:highlight w:val="none"/>
          <w:u w:val="single"/>
          <w:lang w:val="en-US" w:eastAsia="zh-CN"/>
        </w:rPr>
        <w:t>大荔牧场</w:t>
      </w:r>
      <w:r>
        <w:rPr>
          <w:rFonts w:hint="eastAsia" w:asciiTheme="majorEastAsia" w:hAnsiTheme="majorEastAsia" w:eastAsiaTheme="majorEastAsia" w:cstheme="majorEastAsia"/>
          <w:sz w:val="24"/>
          <w:szCs w:val="24"/>
          <w:highlight w:val="none"/>
          <w:u w:val="single"/>
        </w:rPr>
        <w:t>卸料及</w:t>
      </w:r>
      <w:r>
        <w:rPr>
          <w:rFonts w:hint="eastAsia" w:asciiTheme="majorEastAsia" w:hAnsiTheme="majorEastAsia" w:eastAsiaTheme="majorEastAsia" w:cstheme="majorEastAsia"/>
          <w:kern w:val="0"/>
          <w:sz w:val="24"/>
          <w:szCs w:val="24"/>
          <w:highlight w:val="none"/>
          <w:u w:val="single"/>
        </w:rPr>
        <w:t>倒料外包项目</w:t>
      </w:r>
      <w:r>
        <w:rPr>
          <w:rFonts w:hint="eastAsia" w:asciiTheme="majorEastAsia" w:hAnsiTheme="majorEastAsia" w:eastAsiaTheme="majorEastAsia" w:cstheme="majorEastAsia"/>
          <w:sz w:val="24"/>
          <w:szCs w:val="24"/>
          <w:highlight w:val="none"/>
        </w:rPr>
        <w:t>（以下简称“本项目”）的招标文件，我方就本项目的投标工作，作出以下承诺：</w:t>
      </w:r>
    </w:p>
    <w:p>
      <w:pPr>
        <w:shd w:val="clear" w:color="auto" w:fill="FFFFFF"/>
        <w:spacing w:line="50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1、我方经仔细阅读和认真研究上述招标文件、答疑纪要（如有）及有关附件的所有内容后，已完全理解并同意接受招标文件涉及的各项要求与权利。</w:t>
      </w:r>
    </w:p>
    <w:p>
      <w:pPr>
        <w:shd w:val="clear" w:color="auto" w:fill="FFFFFF"/>
        <w:spacing w:line="50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2、我方于投标前以对本项目进行了充分调研，确保中标后顺利进场服务，对于以上可能产生的费用及风险均由我方自行承担。</w:t>
      </w:r>
    </w:p>
    <w:p>
      <w:pPr>
        <w:shd w:val="clear" w:color="auto" w:fill="FFFFFF"/>
        <w:spacing w:line="50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3、若我方有幸中标，则在服务过程中出现的各种变更，由发标人、服务单位等现场计量，价格以审计部门的审计为准。</w:t>
      </w:r>
    </w:p>
    <w:p>
      <w:pPr>
        <w:shd w:val="clear" w:color="auto" w:fill="FFFFFF"/>
        <w:spacing w:line="50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4、一旦我方中标，为了保证项目顺利进行，将与项目所在地的当地政府极沟通和协调，并熟悉周边环境，了解人为因素，若因此带来的有关影响项目的各项风险均由我方承担。</w:t>
      </w:r>
    </w:p>
    <w:p>
      <w:pPr>
        <w:shd w:val="clear" w:color="auto" w:fill="FFFFFF"/>
        <w:spacing w:line="50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5</w:t>
      </w:r>
      <w:r>
        <w:rPr>
          <w:rFonts w:hint="eastAsia" w:asciiTheme="majorEastAsia" w:hAnsiTheme="majorEastAsia" w:eastAsiaTheme="majorEastAsia" w:cstheme="majorEastAsia"/>
          <w:sz w:val="24"/>
          <w:szCs w:val="24"/>
          <w:highlight w:val="none"/>
        </w:rPr>
        <w:t>、如果我方中标，保证忠实地执行买卖双方所签的</w:t>
      </w:r>
      <w:r>
        <w:rPr>
          <w:rFonts w:hint="eastAsia" w:asciiTheme="majorEastAsia" w:hAnsiTheme="majorEastAsia" w:eastAsiaTheme="majorEastAsia" w:cstheme="majorEastAsia"/>
          <w:sz w:val="24"/>
          <w:szCs w:val="24"/>
          <w:highlight w:val="none"/>
          <w:lang w:val="en-US" w:eastAsia="zh-CN"/>
        </w:rPr>
        <w:t>服务</w:t>
      </w:r>
      <w:r>
        <w:rPr>
          <w:rFonts w:hint="eastAsia" w:asciiTheme="majorEastAsia" w:hAnsiTheme="majorEastAsia" w:eastAsiaTheme="majorEastAsia" w:cstheme="majorEastAsia"/>
          <w:sz w:val="24"/>
          <w:szCs w:val="24"/>
          <w:highlight w:val="none"/>
        </w:rPr>
        <w:t>合同，承担合同规定的责任和义务；</w:t>
      </w:r>
    </w:p>
    <w:p>
      <w:pPr>
        <w:shd w:val="clear" w:color="auto" w:fill="FFFFFF"/>
        <w:spacing w:line="50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6、我方保证上述承诺的内容真实和准确，并愿意承担因我方就此弄虚作假所引起的一切法律后果。</w:t>
      </w:r>
    </w:p>
    <w:p>
      <w:pPr>
        <w:shd w:val="clear" w:color="auto" w:fill="FFFFFF"/>
        <w:spacing w:line="500" w:lineRule="exact"/>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特此承诺。</w:t>
      </w:r>
    </w:p>
    <w:p>
      <w:pPr>
        <w:shd w:val="clear" w:color="auto" w:fill="FFFFFF"/>
        <w:spacing w:line="500" w:lineRule="exact"/>
        <w:ind w:firstLine="480" w:firstLineChars="200"/>
        <w:jc w:val="center"/>
        <w:rPr>
          <w:rFonts w:hint="eastAsia" w:asciiTheme="majorEastAsia" w:hAnsiTheme="majorEastAsia" w:eastAsiaTheme="majorEastAsia" w:cstheme="majorEastAsia"/>
          <w:sz w:val="24"/>
          <w:szCs w:val="24"/>
          <w:highlight w:val="none"/>
        </w:rPr>
      </w:pPr>
    </w:p>
    <w:p>
      <w:pPr>
        <w:shd w:val="clear" w:color="auto" w:fill="FFFFFF"/>
        <w:spacing w:line="500" w:lineRule="exact"/>
        <w:ind w:firstLine="480" w:firstLineChars="200"/>
        <w:jc w:val="righ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投    标     人：</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（盖单位章）</w:t>
      </w:r>
    </w:p>
    <w:p>
      <w:pPr>
        <w:shd w:val="clear" w:color="auto" w:fill="FFFFFF"/>
        <w:spacing w:line="500" w:lineRule="exact"/>
        <w:ind w:firstLine="480" w:firstLineChars="200"/>
        <w:jc w:val="righ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法定代表人或其委托代理人：</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 xml:space="preserve"> （签字或盖章）</w:t>
      </w:r>
    </w:p>
    <w:p>
      <w:pPr>
        <w:shd w:val="clear" w:color="auto" w:fill="FFFFFF"/>
        <w:spacing w:line="500" w:lineRule="exact"/>
        <w:ind w:firstLine="480" w:firstLineChars="200"/>
        <w:jc w:val="righ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日期：         年       月      日</w:t>
      </w:r>
    </w:p>
    <w:p>
      <w:pPr>
        <w:spacing w:line="360" w:lineRule="auto"/>
        <w:rPr>
          <w:rFonts w:hint="eastAsia" w:ascii="Times New Roman" w:hAnsi="宋体" w:eastAsia="宋体" w:cs="Times New Roman"/>
          <w:b/>
          <w:bCs/>
          <w:sz w:val="32"/>
          <w:szCs w:val="20"/>
          <w:highlight w:val="none"/>
        </w:rPr>
        <w:sectPr>
          <w:footerReference r:id="rId8" w:type="default"/>
          <w:pgSz w:w="11906" w:h="16838"/>
          <w:pgMar w:top="1440" w:right="1701" w:bottom="1440" w:left="1797" w:header="680" w:footer="992" w:gutter="0"/>
          <w:cols w:space="720" w:num="1"/>
          <w:docGrid w:type="lines" w:linePitch="312" w:charSpace="0"/>
        </w:sectPr>
      </w:pPr>
    </w:p>
    <w:p>
      <w:pPr>
        <w:pageBreakBefore/>
        <w:spacing w:before="156" w:beforeLines="50" w:after="156" w:afterLines="50" w:line="360" w:lineRule="auto"/>
        <w:jc w:val="center"/>
        <w:outlineLvl w:val="0"/>
        <w:rPr>
          <w:rFonts w:hint="eastAsia" w:asciiTheme="majorEastAsia" w:hAnsiTheme="majorEastAsia" w:eastAsiaTheme="majorEastAsia" w:cstheme="majorEastAsia"/>
          <w:sz w:val="36"/>
          <w:szCs w:val="36"/>
          <w:highlight w:val="none"/>
        </w:rPr>
      </w:pPr>
      <w:r>
        <w:rPr>
          <w:rFonts w:hint="eastAsia" w:ascii="Times New Roman" w:hAnsi="宋体" w:eastAsia="宋体" w:cs="Times New Roman"/>
          <w:b/>
          <w:bCs/>
          <w:sz w:val="36"/>
          <w:szCs w:val="36"/>
          <w:highlight w:val="none"/>
        </w:rPr>
        <w:t>三、服务方案</w:t>
      </w:r>
    </w:p>
    <w:p>
      <w:pPr>
        <w:jc w:val="center"/>
        <w:rPr>
          <w:b/>
          <w:bCs/>
          <w:sz w:val="36"/>
          <w:szCs w:val="32"/>
          <w:highlight w:val="none"/>
        </w:rPr>
      </w:pPr>
      <w:r>
        <w:rPr>
          <w:rFonts w:hint="eastAsia" w:asciiTheme="majorEastAsia" w:hAnsiTheme="majorEastAsia" w:eastAsiaTheme="majorEastAsia" w:cstheme="majorEastAsia"/>
          <w:color w:val="000000"/>
          <w:sz w:val="24"/>
          <w:szCs w:val="24"/>
          <w:highlight w:val="none"/>
        </w:rPr>
        <w:t>服务方案、技术措施及安全管理等</w:t>
      </w:r>
      <w:r>
        <w:rPr>
          <w:rFonts w:hint="eastAsia" w:asciiTheme="majorEastAsia" w:hAnsiTheme="majorEastAsia" w:eastAsiaTheme="majorEastAsia" w:cstheme="majorEastAsia"/>
          <w:color w:val="000000"/>
          <w:sz w:val="24"/>
          <w:szCs w:val="24"/>
          <w:highlight w:val="none"/>
          <w:lang w:eastAsia="zh-CN"/>
        </w:rPr>
        <w:t>（</w:t>
      </w:r>
      <w:r>
        <w:rPr>
          <w:rFonts w:hint="eastAsia" w:asciiTheme="majorEastAsia" w:hAnsiTheme="majorEastAsia" w:eastAsiaTheme="majorEastAsia" w:cstheme="majorEastAsia"/>
          <w:color w:val="000000"/>
          <w:sz w:val="24"/>
          <w:szCs w:val="24"/>
          <w:highlight w:val="none"/>
          <w:lang w:val="en-US" w:eastAsia="zh-CN"/>
        </w:rPr>
        <w:t>内容自拟</w:t>
      </w:r>
      <w:r>
        <w:rPr>
          <w:rFonts w:hint="eastAsia" w:asciiTheme="majorEastAsia" w:hAnsiTheme="majorEastAsia" w:eastAsiaTheme="majorEastAsia" w:cstheme="majorEastAsia"/>
          <w:color w:val="000000"/>
          <w:sz w:val="24"/>
          <w:szCs w:val="24"/>
          <w:highlight w:val="none"/>
          <w:lang w:eastAsia="zh-CN"/>
        </w:rPr>
        <w:t>）</w:t>
      </w:r>
      <w:r>
        <w:rPr>
          <w:rFonts w:hint="eastAsia"/>
          <w:b/>
          <w:bCs/>
          <w:sz w:val="24"/>
          <w:szCs w:val="24"/>
          <w:highlight w:val="none"/>
        </w:rPr>
        <w:br w:type="page"/>
      </w:r>
      <w:r>
        <w:rPr>
          <w:rFonts w:hint="eastAsia"/>
          <w:b/>
          <w:bCs/>
          <w:sz w:val="36"/>
          <w:szCs w:val="32"/>
          <w:highlight w:val="none"/>
        </w:rPr>
        <w:t>四、人员配置表</w:t>
      </w:r>
    </w:p>
    <w:tbl>
      <w:tblPr>
        <w:tblStyle w:val="14"/>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306"/>
        <w:gridCol w:w="2040"/>
        <w:gridCol w:w="2040"/>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30" w:type="dxa"/>
          </w:tcPr>
          <w:p>
            <w:pPr>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序号</w:t>
            </w:r>
          </w:p>
        </w:tc>
        <w:tc>
          <w:tcPr>
            <w:tcW w:w="3306" w:type="dxa"/>
          </w:tcPr>
          <w:p>
            <w:pPr>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人员</w:t>
            </w:r>
            <w:r>
              <w:rPr>
                <w:rFonts w:hint="eastAsia" w:asciiTheme="majorEastAsia" w:hAnsiTheme="majorEastAsia" w:eastAsiaTheme="majorEastAsia" w:cstheme="majorEastAsia"/>
                <w:sz w:val="28"/>
                <w:szCs w:val="28"/>
                <w:highlight w:val="none"/>
              </w:rPr>
              <w:t>配置</w:t>
            </w:r>
          </w:p>
        </w:tc>
        <w:tc>
          <w:tcPr>
            <w:tcW w:w="2040" w:type="dxa"/>
          </w:tcPr>
          <w:p>
            <w:pPr>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基本要求</w:t>
            </w:r>
          </w:p>
        </w:tc>
        <w:tc>
          <w:tcPr>
            <w:tcW w:w="2040" w:type="dxa"/>
          </w:tcPr>
          <w:p>
            <w:pPr>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数量</w:t>
            </w:r>
          </w:p>
        </w:tc>
        <w:tc>
          <w:tcPr>
            <w:tcW w:w="1301" w:type="dxa"/>
          </w:tcPr>
          <w:p>
            <w:pPr>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30" w:type="dxa"/>
            <w:vAlign w:val="center"/>
          </w:tcPr>
          <w:p>
            <w:pPr>
              <w:jc w:val="center"/>
              <w:rPr>
                <w:rFonts w:hint="eastAsia" w:asciiTheme="majorEastAsia" w:hAnsiTheme="majorEastAsia" w:eastAsiaTheme="majorEastAsia" w:cstheme="majorEastAsia"/>
                <w:sz w:val="28"/>
                <w:szCs w:val="28"/>
                <w:highlight w:val="none"/>
                <w:lang w:eastAsia="zh-CN"/>
              </w:rPr>
            </w:pPr>
            <w:r>
              <w:rPr>
                <w:rFonts w:hint="eastAsia" w:asciiTheme="majorEastAsia" w:hAnsiTheme="majorEastAsia" w:eastAsiaTheme="majorEastAsia" w:cstheme="majorEastAsia"/>
                <w:sz w:val="28"/>
                <w:szCs w:val="28"/>
                <w:highlight w:val="none"/>
                <w:lang w:val="en-US" w:eastAsia="zh-CN"/>
              </w:rPr>
              <w:t>1</w:t>
            </w:r>
          </w:p>
        </w:tc>
        <w:tc>
          <w:tcPr>
            <w:tcW w:w="330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小料制作、库房原料转运</w:t>
            </w:r>
          </w:p>
        </w:tc>
        <w:tc>
          <w:tcPr>
            <w:tcW w:w="2040" w:type="dxa"/>
            <w:vAlign w:val="center"/>
          </w:tcPr>
          <w:p>
            <w:pPr>
              <w:jc w:val="center"/>
              <w:rPr>
                <w:rFonts w:hint="default" w:asciiTheme="majorEastAsia" w:hAnsiTheme="majorEastAsia" w:eastAsiaTheme="majorEastAsia" w:cstheme="majorEastAsia"/>
                <w:sz w:val="28"/>
                <w:szCs w:val="28"/>
                <w:highlight w:val="none"/>
                <w:u w:val="none"/>
                <w:lang w:val="en-US" w:eastAsia="zh-CN"/>
              </w:rPr>
            </w:pPr>
            <w:r>
              <w:rPr>
                <w:rFonts w:hint="eastAsia" w:asciiTheme="majorEastAsia" w:hAnsiTheme="majorEastAsia" w:eastAsiaTheme="majorEastAsia" w:cstheme="majorEastAsia"/>
                <w:sz w:val="28"/>
                <w:szCs w:val="28"/>
                <w:highlight w:val="none"/>
                <w:u w:val="none"/>
                <w:lang w:val="en-US" w:eastAsia="zh-CN"/>
              </w:rPr>
              <w:t>3人</w:t>
            </w:r>
          </w:p>
        </w:tc>
        <w:tc>
          <w:tcPr>
            <w:tcW w:w="2040" w:type="dxa"/>
            <w:vAlign w:val="center"/>
          </w:tcPr>
          <w:p>
            <w:pPr>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人</w:t>
            </w:r>
          </w:p>
        </w:tc>
        <w:tc>
          <w:tcPr>
            <w:tcW w:w="1301" w:type="dxa"/>
            <w:vAlign w:val="center"/>
          </w:tcPr>
          <w:p>
            <w:pPr>
              <w:jc w:val="center"/>
              <w:rPr>
                <w:rFonts w:hint="eastAsia" w:asciiTheme="majorEastAsia" w:hAnsiTheme="majorEastAsia" w:eastAsiaTheme="majorEastAsia" w:cstheme="maj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30" w:type="dxa"/>
            <w:vAlign w:val="center"/>
          </w:tcPr>
          <w:p>
            <w:pPr>
              <w:jc w:val="center"/>
              <w:rPr>
                <w:rFonts w:hint="eastAsia" w:asciiTheme="majorEastAsia" w:hAnsiTheme="majorEastAsia" w:eastAsiaTheme="majorEastAsia" w:cstheme="majorEastAsia"/>
                <w:sz w:val="28"/>
                <w:szCs w:val="28"/>
                <w:highlight w:val="none"/>
                <w:lang w:eastAsia="zh-CN"/>
              </w:rPr>
            </w:pPr>
            <w:r>
              <w:rPr>
                <w:rFonts w:hint="eastAsia" w:asciiTheme="majorEastAsia" w:hAnsiTheme="majorEastAsia" w:eastAsiaTheme="majorEastAsia" w:cstheme="majorEastAsia"/>
                <w:sz w:val="28"/>
                <w:szCs w:val="28"/>
                <w:highlight w:val="none"/>
                <w:lang w:val="en-US" w:eastAsia="zh-CN"/>
              </w:rPr>
              <w:t>2</w:t>
            </w:r>
          </w:p>
        </w:tc>
        <w:tc>
          <w:tcPr>
            <w:tcW w:w="3306" w:type="dxa"/>
            <w:vAlign w:val="center"/>
          </w:tcPr>
          <w:p>
            <w:pPr>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卸料工作</w:t>
            </w:r>
          </w:p>
        </w:tc>
        <w:tc>
          <w:tcPr>
            <w:tcW w:w="2040" w:type="dxa"/>
            <w:vAlign w:val="center"/>
          </w:tcPr>
          <w:p>
            <w:pPr>
              <w:jc w:val="center"/>
              <w:rPr>
                <w:rFonts w:hint="default" w:asciiTheme="majorEastAsia" w:hAnsiTheme="majorEastAsia" w:eastAsiaTheme="majorEastAsia" w:cstheme="majorEastAsia"/>
                <w:sz w:val="28"/>
                <w:szCs w:val="28"/>
                <w:highlight w:val="none"/>
                <w:u w:val="none"/>
                <w:lang w:val="en-US" w:eastAsia="zh-CN"/>
              </w:rPr>
            </w:pPr>
            <w:r>
              <w:rPr>
                <w:rFonts w:hint="eastAsia" w:asciiTheme="majorEastAsia" w:hAnsiTheme="majorEastAsia" w:eastAsiaTheme="majorEastAsia" w:cstheme="majorEastAsia"/>
                <w:sz w:val="28"/>
                <w:szCs w:val="28"/>
                <w:highlight w:val="none"/>
                <w:u w:val="none"/>
                <w:lang w:val="en-US" w:eastAsia="zh-CN"/>
              </w:rPr>
              <w:t>4人</w:t>
            </w:r>
          </w:p>
        </w:tc>
        <w:tc>
          <w:tcPr>
            <w:tcW w:w="2040" w:type="dxa"/>
            <w:vAlign w:val="center"/>
          </w:tcPr>
          <w:p>
            <w:pPr>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人</w:t>
            </w:r>
          </w:p>
        </w:tc>
        <w:tc>
          <w:tcPr>
            <w:tcW w:w="1301" w:type="dxa"/>
            <w:vAlign w:val="center"/>
          </w:tcPr>
          <w:p>
            <w:pPr>
              <w:jc w:val="center"/>
              <w:rPr>
                <w:rFonts w:hint="eastAsia" w:asciiTheme="majorEastAsia" w:hAnsiTheme="majorEastAsia" w:eastAsiaTheme="majorEastAsia" w:cstheme="maj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30" w:type="dxa"/>
            <w:vAlign w:val="center"/>
          </w:tcPr>
          <w:p>
            <w:pPr>
              <w:jc w:val="center"/>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3</w:t>
            </w:r>
          </w:p>
        </w:tc>
        <w:tc>
          <w:tcPr>
            <w:tcW w:w="3306" w:type="dxa"/>
            <w:vAlign w:val="center"/>
          </w:tcPr>
          <w:p>
            <w:pPr>
              <w:jc w:val="center"/>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现场管理</w:t>
            </w:r>
          </w:p>
        </w:tc>
        <w:tc>
          <w:tcPr>
            <w:tcW w:w="2040" w:type="dxa"/>
            <w:vAlign w:val="center"/>
          </w:tcPr>
          <w:p>
            <w:pPr>
              <w:jc w:val="center"/>
              <w:rPr>
                <w:rFonts w:hint="default" w:asciiTheme="majorEastAsia" w:hAnsiTheme="majorEastAsia" w:eastAsiaTheme="majorEastAsia" w:cstheme="majorEastAsia"/>
                <w:sz w:val="28"/>
                <w:szCs w:val="28"/>
                <w:highlight w:val="none"/>
                <w:u w:val="single"/>
                <w:lang w:val="en-US" w:eastAsia="zh-CN"/>
              </w:rPr>
            </w:pPr>
            <w:r>
              <w:rPr>
                <w:rFonts w:hint="eastAsia" w:asciiTheme="majorEastAsia" w:hAnsiTheme="majorEastAsia" w:eastAsiaTheme="majorEastAsia" w:cstheme="majorEastAsia"/>
                <w:sz w:val="28"/>
                <w:szCs w:val="28"/>
                <w:highlight w:val="none"/>
                <w:u w:val="none"/>
                <w:lang w:val="en-US" w:eastAsia="zh-CN"/>
              </w:rPr>
              <w:t>1人</w:t>
            </w:r>
          </w:p>
        </w:tc>
        <w:tc>
          <w:tcPr>
            <w:tcW w:w="2040" w:type="dxa"/>
            <w:vAlign w:val="center"/>
          </w:tcPr>
          <w:p>
            <w:pPr>
              <w:jc w:val="center"/>
              <w:rPr>
                <w:rFonts w:hint="eastAsia" w:asciiTheme="majorEastAsia" w:hAnsiTheme="majorEastAsia" w:eastAsiaTheme="majorEastAsia" w:cstheme="majorEastAsia"/>
                <w:sz w:val="28"/>
                <w:szCs w:val="28"/>
                <w:highlight w:val="none"/>
                <w:u w:val="single"/>
              </w:rPr>
            </w:pP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人</w:t>
            </w:r>
          </w:p>
        </w:tc>
        <w:tc>
          <w:tcPr>
            <w:tcW w:w="1301" w:type="dxa"/>
            <w:vAlign w:val="center"/>
          </w:tcPr>
          <w:p>
            <w:pPr>
              <w:jc w:val="center"/>
              <w:rPr>
                <w:rFonts w:hint="eastAsia" w:asciiTheme="majorEastAsia" w:hAnsiTheme="majorEastAsia" w:eastAsiaTheme="majorEastAsia" w:cstheme="majorEastAsia"/>
                <w:sz w:val="28"/>
                <w:szCs w:val="28"/>
                <w:highlight w:val="none"/>
              </w:rPr>
            </w:pPr>
          </w:p>
        </w:tc>
      </w:tr>
    </w:tbl>
    <w:p>
      <w:pPr>
        <w:rPr>
          <w:rFonts w:hint="eastAsia" w:ascii="Times New Roman" w:hAnsi="宋体" w:eastAsia="宋体" w:cs="Times New Roman"/>
          <w:b/>
          <w:bCs/>
          <w:sz w:val="32"/>
          <w:szCs w:val="20"/>
          <w:highlight w:val="none"/>
        </w:rPr>
      </w:pPr>
      <w:r>
        <w:rPr>
          <w:rFonts w:hint="eastAsia" w:ascii="Times New Roman" w:hAnsi="宋体" w:eastAsia="宋体" w:cs="Times New Roman"/>
          <w:b/>
          <w:bCs/>
          <w:sz w:val="32"/>
          <w:szCs w:val="20"/>
          <w:highlight w:val="none"/>
        </w:rPr>
        <w:br w:type="page"/>
      </w:r>
    </w:p>
    <w:p>
      <w:pPr>
        <w:pageBreakBefore/>
        <w:spacing w:before="156" w:beforeLines="50" w:after="156" w:afterLines="50" w:line="360" w:lineRule="auto"/>
        <w:jc w:val="center"/>
        <w:outlineLvl w:val="0"/>
        <w:rPr>
          <w:rFonts w:hint="eastAsia" w:ascii="Times New Roman" w:hAnsi="宋体" w:eastAsia="宋体" w:cs="Times New Roman"/>
          <w:b/>
          <w:bCs/>
          <w:sz w:val="32"/>
          <w:szCs w:val="20"/>
          <w:highlight w:val="none"/>
        </w:rPr>
        <w:sectPr>
          <w:pgSz w:w="11906" w:h="16838"/>
          <w:pgMar w:top="1440" w:right="1133" w:bottom="1134" w:left="1797" w:header="680" w:footer="992" w:gutter="0"/>
          <w:cols w:space="720" w:num="1"/>
          <w:docGrid w:type="lines" w:linePitch="312" w:charSpace="0"/>
        </w:sectPr>
      </w:pPr>
    </w:p>
    <w:p>
      <w:pPr>
        <w:jc w:val="center"/>
        <w:rPr>
          <w:rFonts w:hint="eastAsia" w:ascii="Times New Roman" w:hAnsi="宋体" w:eastAsia="宋体" w:cs="Times New Roman"/>
          <w:b/>
          <w:bCs/>
          <w:sz w:val="32"/>
          <w:szCs w:val="20"/>
          <w:highlight w:val="none"/>
        </w:rPr>
      </w:pPr>
      <w:r>
        <w:rPr>
          <w:rFonts w:hint="eastAsia" w:ascii="Times New Roman" w:hAnsi="宋体" w:eastAsia="宋体" w:cs="Times New Roman"/>
          <w:b/>
          <w:bCs/>
          <w:sz w:val="32"/>
          <w:szCs w:val="20"/>
          <w:highlight w:val="none"/>
        </w:rPr>
        <w:t>五、投标报价单</w:t>
      </w:r>
      <w:bookmarkStart w:id="7" w:name="_GoBack"/>
      <w:bookmarkEnd w:id="7"/>
    </w:p>
    <w:p>
      <w:pPr>
        <w:pStyle w:val="7"/>
        <w:rPr>
          <w:highlight w:val="none"/>
        </w:rPr>
      </w:pPr>
      <w:r>
        <w:rPr>
          <w:rFonts w:hint="eastAsia" w:ascii="宋体" w:hAnsi="宋体" w:cs="宋体"/>
          <w:sz w:val="24"/>
          <w:highlight w:val="none"/>
        </w:rPr>
        <w:t>致：中垦牧（陕西）牧业有限公司，接贵司</w:t>
      </w:r>
      <w:r>
        <w:rPr>
          <w:rFonts w:ascii="宋体" w:hAnsi="宋体" w:cs="宋体"/>
          <w:sz w:val="24"/>
          <w:highlight w:val="none"/>
        </w:rPr>
        <w:t xml:space="preserve"> </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yellow"/>
          <w:lang w:val="en-US" w:eastAsia="zh-CN"/>
        </w:rPr>
        <w:t>3月16日</w:t>
      </w:r>
      <w:r>
        <w:rPr>
          <w:rFonts w:hint="eastAsia" w:ascii="宋体" w:hAnsi="宋体" w:cs="宋体"/>
          <w:sz w:val="24"/>
          <w:highlight w:val="none"/>
          <w:lang w:val="en-US" w:eastAsia="zh-CN"/>
        </w:rPr>
        <w:t>大荔牧场</w:t>
      </w:r>
      <w:r>
        <w:rPr>
          <w:rFonts w:hint="eastAsia" w:ascii="宋体" w:hAnsi="宋体" w:cs="宋体"/>
          <w:sz w:val="24"/>
          <w:highlight w:val="none"/>
        </w:rPr>
        <w:t>卸料及倒料劳务外包招标事宜，我方现报价如下：</w:t>
      </w:r>
      <w:r>
        <w:rPr>
          <w:szCs w:val="21"/>
          <w:highlight w:val="none"/>
        </w:rPr>
        <w:t xml:space="preserve"> </w:t>
      </w:r>
    </w:p>
    <w:tbl>
      <w:tblPr>
        <w:tblStyle w:val="24"/>
        <w:tblW w:w="153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9"/>
        <w:gridCol w:w="1029"/>
        <w:gridCol w:w="2215"/>
        <w:gridCol w:w="994"/>
        <w:gridCol w:w="1046"/>
        <w:gridCol w:w="1186"/>
        <w:gridCol w:w="1239"/>
        <w:gridCol w:w="1170"/>
        <w:gridCol w:w="5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pStyle w:val="23"/>
              <w:spacing w:before="254" w:line="220" w:lineRule="auto"/>
              <w:jc w:val="center"/>
              <w:rPr>
                <w:rFonts w:hint="eastAsia"/>
                <w:highlight w:val="none"/>
              </w:rPr>
            </w:pPr>
            <w:r>
              <w:rPr>
                <w:spacing w:val="-6"/>
                <w:highlight w:val="none"/>
              </w:rPr>
              <w:t>项目</w:t>
            </w:r>
          </w:p>
        </w:tc>
        <w:tc>
          <w:tcPr>
            <w:tcW w:w="1029" w:type="dxa"/>
            <w:tcBorders>
              <w:top w:val="single" w:color="auto" w:sz="4" w:space="0"/>
              <w:left w:val="single" w:color="auto" w:sz="4" w:space="0"/>
              <w:bottom w:val="single" w:color="auto" w:sz="4" w:space="0"/>
              <w:right w:val="single" w:color="auto" w:sz="4" w:space="0"/>
            </w:tcBorders>
            <w:vAlign w:val="center"/>
          </w:tcPr>
          <w:p>
            <w:pPr>
              <w:pStyle w:val="23"/>
              <w:spacing w:before="254" w:line="219" w:lineRule="auto"/>
              <w:jc w:val="center"/>
              <w:rPr>
                <w:rFonts w:hint="eastAsia"/>
                <w:highlight w:val="none"/>
              </w:rPr>
            </w:pPr>
            <w:r>
              <w:rPr>
                <w:spacing w:val="7"/>
                <w:highlight w:val="none"/>
              </w:rPr>
              <w:t>类型</w:t>
            </w:r>
          </w:p>
        </w:tc>
        <w:tc>
          <w:tcPr>
            <w:tcW w:w="2215" w:type="dxa"/>
            <w:tcBorders>
              <w:top w:val="single" w:color="auto" w:sz="4" w:space="0"/>
              <w:left w:val="single" w:color="auto" w:sz="4" w:space="0"/>
              <w:bottom w:val="single" w:color="auto" w:sz="4" w:space="0"/>
              <w:right w:val="single" w:color="auto" w:sz="4" w:space="0"/>
            </w:tcBorders>
            <w:vAlign w:val="center"/>
          </w:tcPr>
          <w:p>
            <w:pPr>
              <w:pStyle w:val="23"/>
              <w:spacing w:before="254" w:line="219" w:lineRule="auto"/>
              <w:jc w:val="center"/>
              <w:rPr>
                <w:rFonts w:hint="eastAsia"/>
                <w:highlight w:val="none"/>
              </w:rPr>
            </w:pPr>
            <w:r>
              <w:rPr>
                <w:spacing w:val="9"/>
                <w:highlight w:val="none"/>
              </w:rPr>
              <w:t>类别</w:t>
            </w:r>
          </w:p>
        </w:tc>
        <w:tc>
          <w:tcPr>
            <w:tcW w:w="994" w:type="dxa"/>
            <w:tcBorders>
              <w:top w:val="single" w:color="auto" w:sz="4" w:space="0"/>
              <w:left w:val="single" w:color="auto" w:sz="4" w:space="0"/>
              <w:bottom w:val="single" w:color="auto" w:sz="4" w:space="0"/>
              <w:right w:val="single" w:color="auto" w:sz="4" w:space="0"/>
            </w:tcBorders>
            <w:vAlign w:val="center"/>
          </w:tcPr>
          <w:p>
            <w:pPr>
              <w:pStyle w:val="23"/>
              <w:spacing w:before="254" w:line="220" w:lineRule="auto"/>
              <w:jc w:val="center"/>
              <w:rPr>
                <w:rFonts w:hint="eastAsia"/>
                <w:highlight w:val="none"/>
              </w:rPr>
            </w:pPr>
            <w:r>
              <w:rPr>
                <w:spacing w:val="-3"/>
                <w:highlight w:val="none"/>
              </w:rPr>
              <w:t>单位</w:t>
            </w:r>
          </w:p>
        </w:tc>
        <w:tc>
          <w:tcPr>
            <w:tcW w:w="1046" w:type="dxa"/>
            <w:tcBorders>
              <w:top w:val="single" w:color="auto" w:sz="4" w:space="0"/>
              <w:left w:val="single" w:color="auto" w:sz="4" w:space="0"/>
              <w:bottom w:val="single" w:color="auto" w:sz="4" w:space="0"/>
              <w:right w:val="single" w:color="auto" w:sz="4" w:space="0"/>
            </w:tcBorders>
            <w:vAlign w:val="center"/>
          </w:tcPr>
          <w:p>
            <w:pPr>
              <w:pStyle w:val="23"/>
              <w:spacing w:before="254" w:line="219" w:lineRule="auto"/>
              <w:jc w:val="center"/>
              <w:rPr>
                <w:rFonts w:hint="default" w:eastAsia="宋体"/>
                <w:spacing w:val="-2"/>
                <w:highlight w:val="none"/>
                <w:lang w:val="en-US" w:eastAsia="zh-CN"/>
              </w:rPr>
            </w:pPr>
            <w:r>
              <w:rPr>
                <w:rFonts w:hint="eastAsia"/>
                <w:spacing w:val="-2"/>
                <w:highlight w:val="none"/>
                <w:lang w:val="en-US" w:eastAsia="zh-CN"/>
              </w:rPr>
              <w:t>年预计量</w:t>
            </w:r>
          </w:p>
        </w:tc>
        <w:tc>
          <w:tcPr>
            <w:tcW w:w="11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highlight w:val="none"/>
                <w:lang w:bidi="ar"/>
              </w:rPr>
              <w:t>限标价</w:t>
            </w:r>
            <w:r>
              <w:rPr>
                <w:rFonts w:hint="eastAsia" w:ascii="宋体" w:hAnsi="宋体" w:eastAsia="宋体" w:cs="宋体"/>
                <w:color w:val="000000"/>
                <w:kern w:val="0"/>
                <w:sz w:val="22"/>
                <w:highlight w:val="none"/>
                <w:lang w:eastAsia="zh-CN" w:bidi="ar"/>
              </w:rPr>
              <w:t>（</w:t>
            </w:r>
            <w:r>
              <w:rPr>
                <w:rFonts w:hint="eastAsia" w:ascii="宋体" w:hAnsi="宋体" w:eastAsia="宋体" w:cs="宋体"/>
                <w:color w:val="000000"/>
                <w:kern w:val="0"/>
                <w:sz w:val="22"/>
                <w:highlight w:val="none"/>
                <w:lang w:bidi="ar"/>
              </w:rPr>
              <w:t>元/吨</w:t>
            </w:r>
            <w:r>
              <w:rPr>
                <w:rFonts w:hint="eastAsia" w:ascii="宋体" w:hAnsi="宋体" w:eastAsia="宋体" w:cs="宋体"/>
                <w:color w:val="000000"/>
                <w:kern w:val="0"/>
                <w:sz w:val="22"/>
                <w:highlight w:val="none"/>
                <w:lang w:eastAsia="zh-CN" w:bidi="ar"/>
              </w:rPr>
              <w:t>）</w:t>
            </w:r>
          </w:p>
        </w:tc>
        <w:tc>
          <w:tcPr>
            <w:tcW w:w="12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投标单价（元/吨）</w:t>
            </w:r>
          </w:p>
        </w:tc>
        <w:tc>
          <w:tcPr>
            <w:tcW w:w="11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预计总价（元/年）</w:t>
            </w:r>
          </w:p>
        </w:tc>
        <w:tc>
          <w:tcPr>
            <w:tcW w:w="5736" w:type="dxa"/>
            <w:tcBorders>
              <w:top w:val="single" w:color="auto" w:sz="4" w:space="0"/>
              <w:left w:val="single" w:color="auto" w:sz="4" w:space="0"/>
              <w:bottom w:val="single" w:color="auto" w:sz="4" w:space="0"/>
              <w:right w:val="single" w:color="auto" w:sz="4" w:space="0"/>
            </w:tcBorders>
            <w:vAlign w:val="center"/>
          </w:tcPr>
          <w:p>
            <w:pPr>
              <w:pStyle w:val="23"/>
              <w:spacing w:before="254" w:line="219" w:lineRule="auto"/>
              <w:jc w:val="center"/>
              <w:rPr>
                <w:rFonts w:hint="eastAsia"/>
                <w:highlight w:val="none"/>
              </w:rPr>
            </w:pPr>
            <w:r>
              <w:rPr>
                <w:spacing w:val="-2"/>
                <w:highlight w:val="none"/>
              </w:rPr>
              <w:t>服务标准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779" w:type="dxa"/>
            <w:vMerge w:val="restart"/>
            <w:tcBorders>
              <w:top w:val="single" w:color="auto" w:sz="4" w:space="0"/>
              <w:left w:val="single" w:color="auto" w:sz="4" w:space="0"/>
              <w:bottom w:val="single" w:color="auto" w:sz="4" w:space="0"/>
              <w:right w:val="single" w:color="auto" w:sz="4" w:space="0"/>
            </w:tcBorders>
          </w:tcPr>
          <w:p>
            <w:pPr>
              <w:spacing w:line="252" w:lineRule="auto"/>
              <w:rPr>
                <w:rFonts w:ascii="Arial"/>
                <w:sz w:val="18"/>
                <w:szCs w:val="18"/>
                <w:highlight w:val="none"/>
              </w:rPr>
            </w:pPr>
          </w:p>
          <w:p>
            <w:pPr>
              <w:spacing w:line="253" w:lineRule="auto"/>
              <w:rPr>
                <w:rFonts w:ascii="Arial"/>
                <w:sz w:val="18"/>
                <w:szCs w:val="18"/>
                <w:highlight w:val="none"/>
              </w:rPr>
            </w:pPr>
          </w:p>
          <w:p>
            <w:pPr>
              <w:spacing w:line="253" w:lineRule="auto"/>
              <w:rPr>
                <w:rFonts w:ascii="Arial"/>
                <w:sz w:val="18"/>
                <w:szCs w:val="18"/>
                <w:highlight w:val="none"/>
              </w:rPr>
            </w:pPr>
          </w:p>
          <w:p>
            <w:pPr>
              <w:spacing w:line="253" w:lineRule="auto"/>
              <w:jc w:val="center"/>
              <w:rPr>
                <w:rFonts w:ascii="Arial"/>
                <w:sz w:val="18"/>
                <w:szCs w:val="18"/>
                <w:highlight w:val="none"/>
              </w:rPr>
            </w:pPr>
          </w:p>
          <w:p>
            <w:pPr>
              <w:pStyle w:val="23"/>
              <w:spacing w:before="71" w:line="220" w:lineRule="auto"/>
              <w:jc w:val="center"/>
              <w:rPr>
                <w:rFonts w:hint="eastAsia"/>
                <w:sz w:val="18"/>
                <w:szCs w:val="18"/>
                <w:highlight w:val="none"/>
              </w:rPr>
            </w:pPr>
            <w:r>
              <w:rPr>
                <w:spacing w:val="3"/>
                <w:sz w:val="18"/>
                <w:szCs w:val="18"/>
                <w:highlight w:val="none"/>
              </w:rPr>
              <w:t>装卸</w:t>
            </w:r>
            <w:r>
              <w:rPr>
                <w:rFonts w:hint="eastAsia"/>
                <w:spacing w:val="3"/>
                <w:sz w:val="18"/>
                <w:szCs w:val="18"/>
                <w:highlight w:val="none"/>
                <w:lang w:val="en-US" w:eastAsia="zh-CN"/>
              </w:rPr>
              <w:t>及倒料</w:t>
            </w:r>
            <w:r>
              <w:rPr>
                <w:spacing w:val="3"/>
                <w:sz w:val="18"/>
                <w:szCs w:val="18"/>
                <w:highlight w:val="none"/>
              </w:rPr>
              <w:t>工作</w:t>
            </w:r>
          </w:p>
        </w:tc>
        <w:tc>
          <w:tcPr>
            <w:tcW w:w="1029" w:type="dxa"/>
            <w:tcBorders>
              <w:top w:val="single" w:color="auto" w:sz="4" w:space="0"/>
              <w:left w:val="single" w:color="auto" w:sz="4" w:space="0"/>
              <w:bottom w:val="single" w:color="auto" w:sz="4" w:space="0"/>
              <w:right w:val="single" w:color="auto" w:sz="4" w:space="0"/>
            </w:tcBorders>
            <w:vAlign w:val="center"/>
          </w:tcPr>
          <w:p>
            <w:pPr>
              <w:pStyle w:val="23"/>
              <w:spacing w:before="71" w:line="220" w:lineRule="auto"/>
              <w:jc w:val="center"/>
              <w:rPr>
                <w:rFonts w:hint="eastAsia"/>
                <w:sz w:val="18"/>
                <w:szCs w:val="18"/>
                <w:highlight w:val="none"/>
              </w:rPr>
            </w:pPr>
            <w:r>
              <w:rPr>
                <w:spacing w:val="-2"/>
                <w:sz w:val="18"/>
                <w:szCs w:val="18"/>
                <w:highlight w:val="none"/>
              </w:rPr>
              <w:t>袋装料</w:t>
            </w:r>
          </w:p>
        </w:tc>
        <w:tc>
          <w:tcPr>
            <w:tcW w:w="221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default"/>
                <w:sz w:val="18"/>
                <w:szCs w:val="18"/>
                <w:highlight w:val="none"/>
                <w:lang w:val="en-US" w:eastAsia="zh-CN"/>
              </w:rPr>
            </w:pPr>
            <w:r>
              <w:rPr>
                <w:spacing w:val="-1"/>
                <w:sz w:val="18"/>
                <w:szCs w:val="18"/>
                <w:highlight w:val="none"/>
                <w:lang w:eastAsia="zh-CN"/>
              </w:rPr>
              <w:t>豆粕、</w:t>
            </w:r>
            <w:r>
              <w:rPr>
                <w:rFonts w:hint="eastAsia"/>
                <w:spacing w:val="-1"/>
                <w:sz w:val="18"/>
                <w:szCs w:val="18"/>
                <w:highlight w:val="none"/>
                <w:lang w:val="en-US" w:eastAsia="zh-CN"/>
              </w:rPr>
              <w:t>菜粕、</w:t>
            </w:r>
            <w:r>
              <w:rPr>
                <w:rFonts w:hint="eastAsia"/>
                <w:spacing w:val="-1"/>
                <w:sz w:val="18"/>
                <w:szCs w:val="18"/>
                <w:highlight w:val="none"/>
                <w:lang w:eastAsia="zh-CN"/>
              </w:rPr>
              <w:t>甜菜颗粒、</w:t>
            </w:r>
            <w:r>
              <w:rPr>
                <w:rFonts w:hint="eastAsia"/>
                <w:spacing w:val="-1"/>
                <w:sz w:val="18"/>
                <w:szCs w:val="18"/>
                <w:highlight w:val="none"/>
                <w:lang w:val="en-US" w:eastAsia="zh-CN"/>
              </w:rPr>
              <w:t>膨化大豆、有机豆饼粉、玉米蛋白粉、</w:t>
            </w:r>
            <w:r>
              <w:rPr>
                <w:spacing w:val="-1"/>
                <w:sz w:val="18"/>
                <w:szCs w:val="18"/>
                <w:highlight w:val="none"/>
                <w:lang w:eastAsia="zh-CN"/>
              </w:rPr>
              <w:t>预混料类</w:t>
            </w:r>
            <w:r>
              <w:rPr>
                <w:rFonts w:hint="eastAsia"/>
                <w:spacing w:val="-1"/>
                <w:sz w:val="18"/>
                <w:szCs w:val="18"/>
                <w:highlight w:val="none"/>
                <w:lang w:eastAsia="zh-CN"/>
              </w:rPr>
              <w:t>、</w:t>
            </w:r>
            <w:r>
              <w:rPr>
                <w:spacing w:val="-1"/>
                <w:sz w:val="18"/>
                <w:szCs w:val="18"/>
                <w:highlight w:val="none"/>
                <w:lang w:eastAsia="zh-CN"/>
              </w:rPr>
              <w:t>稻壳粉</w:t>
            </w:r>
            <w:r>
              <w:rPr>
                <w:spacing w:val="1"/>
                <w:sz w:val="18"/>
                <w:szCs w:val="18"/>
                <w:highlight w:val="none"/>
                <w:lang w:eastAsia="zh-CN"/>
              </w:rPr>
              <w:t>等</w:t>
            </w:r>
            <w:r>
              <w:rPr>
                <w:rFonts w:hint="eastAsia"/>
                <w:spacing w:val="1"/>
                <w:sz w:val="18"/>
                <w:szCs w:val="18"/>
                <w:highlight w:val="none"/>
                <w:lang w:val="en-US" w:eastAsia="zh-CN"/>
              </w:rPr>
              <w:t>袋装原料</w:t>
            </w:r>
          </w:p>
        </w:tc>
        <w:tc>
          <w:tcPr>
            <w:tcW w:w="9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sz w:val="18"/>
                <w:szCs w:val="18"/>
                <w:highlight w:val="none"/>
              </w:rPr>
            </w:pPr>
          </w:p>
          <w:p>
            <w:pPr>
              <w:pStyle w:val="23"/>
              <w:keepNext w:val="0"/>
              <w:keepLines w:val="0"/>
              <w:pageBreakBefore w:val="0"/>
              <w:widowControl w:val="0"/>
              <w:kinsoku/>
              <w:wordWrap/>
              <w:overflowPunct/>
              <w:topLinePunct w:val="0"/>
              <w:autoSpaceDE/>
              <w:autoSpaceDN/>
              <w:bidi w:val="0"/>
              <w:adjustRightInd/>
              <w:snapToGrid/>
              <w:spacing w:before="71" w:line="0" w:lineRule="atLeast"/>
              <w:jc w:val="center"/>
              <w:textAlignment w:val="auto"/>
              <w:rPr>
                <w:rFonts w:hint="eastAsia"/>
                <w:sz w:val="18"/>
                <w:szCs w:val="18"/>
                <w:highlight w:val="none"/>
              </w:rPr>
            </w:pPr>
            <w:r>
              <w:rPr>
                <w:sz w:val="18"/>
                <w:szCs w:val="18"/>
                <w:highlight w:val="none"/>
              </w:rPr>
              <w:t>吨</w:t>
            </w:r>
          </w:p>
        </w:tc>
        <w:tc>
          <w:tcPr>
            <w:tcW w:w="1046"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snapToGrid/>
              <w:spacing w:before="37" w:line="0" w:lineRule="atLeast"/>
              <w:ind w:right="92"/>
              <w:jc w:val="center"/>
              <w:textAlignment w:val="auto"/>
              <w:rPr>
                <w:rFonts w:hint="eastAsia" w:asciiTheme="majorEastAsia" w:hAnsiTheme="majorEastAsia" w:eastAsiaTheme="majorEastAsia" w:cstheme="majorEastAsia"/>
                <w:sz w:val="18"/>
                <w:szCs w:val="18"/>
                <w:highlight w:val="none"/>
                <w:lang w:val="en-US" w:eastAsia="zh-CN"/>
              </w:rPr>
            </w:pPr>
            <w:r>
              <w:rPr>
                <w:rFonts w:hint="eastAsia" w:asciiTheme="majorEastAsia" w:hAnsiTheme="majorEastAsia" w:eastAsiaTheme="majorEastAsia" w:cstheme="majorEastAsia"/>
                <w:sz w:val="18"/>
                <w:szCs w:val="18"/>
                <w:highlight w:val="none"/>
                <w:lang w:val="en-US" w:eastAsia="zh-CN"/>
              </w:rPr>
              <w:t>16300</w:t>
            </w:r>
          </w:p>
        </w:tc>
        <w:tc>
          <w:tcPr>
            <w:tcW w:w="1186" w:type="dxa"/>
            <w:tcBorders>
              <w:top w:val="single" w:color="auto" w:sz="4" w:space="0"/>
              <w:left w:val="single" w:color="auto" w:sz="4" w:space="0"/>
              <w:bottom w:val="single" w:color="auto" w:sz="4" w:space="0"/>
              <w:right w:val="single" w:color="auto" w:sz="4" w:space="0"/>
            </w:tcBorders>
            <w:vAlign w:val="top"/>
          </w:tcPr>
          <w:p>
            <w:pPr>
              <w:widowControl/>
              <w:jc w:val="center"/>
              <w:textAlignment w:val="center"/>
              <w:rPr>
                <w:rFonts w:ascii="宋体" w:hAnsi="宋体" w:eastAsia="宋体" w:cs="Times New Roman"/>
                <w:bCs/>
                <w:color w:val="000000"/>
                <w:sz w:val="18"/>
                <w:szCs w:val="18"/>
                <w:highlight w:val="none"/>
              </w:rPr>
            </w:pPr>
          </w:p>
          <w:p>
            <w:pPr>
              <w:widowControl/>
              <w:jc w:val="center"/>
              <w:textAlignment w:val="center"/>
              <w:rPr>
                <w:rFonts w:hint="eastAsia" w:ascii="宋体" w:hAnsi="宋体" w:eastAsia="宋体" w:cs="Times New Roman"/>
                <w:bCs/>
                <w:color w:val="000000"/>
                <w:kern w:val="2"/>
                <w:sz w:val="18"/>
                <w:szCs w:val="18"/>
                <w:highlight w:val="none"/>
                <w:lang w:val="en-US" w:eastAsia="zh-CN" w:bidi="ar-SA"/>
              </w:rPr>
            </w:pPr>
            <w:r>
              <w:rPr>
                <w:rFonts w:hint="eastAsia" w:ascii="宋体" w:hAnsi="宋体" w:eastAsia="宋体" w:cs="Times New Roman"/>
                <w:bCs/>
                <w:color w:val="000000"/>
                <w:sz w:val="18"/>
                <w:szCs w:val="18"/>
                <w:highlight w:val="none"/>
                <w:lang w:val="en-US" w:eastAsia="zh-CN"/>
              </w:rPr>
              <w:t>25元/吨</w:t>
            </w:r>
          </w:p>
        </w:tc>
        <w:tc>
          <w:tcPr>
            <w:tcW w:w="1239" w:type="dxa"/>
            <w:tcBorders>
              <w:top w:val="single" w:color="auto" w:sz="4" w:space="0"/>
              <w:left w:val="single" w:color="auto" w:sz="4" w:space="0"/>
              <w:bottom w:val="single" w:color="auto" w:sz="4" w:space="0"/>
              <w:right w:val="single" w:color="auto" w:sz="4" w:space="0"/>
            </w:tcBorders>
          </w:tcPr>
          <w:p>
            <w:pPr>
              <w:pStyle w:val="23"/>
              <w:keepNext w:val="0"/>
              <w:keepLines w:val="0"/>
              <w:pageBreakBefore w:val="0"/>
              <w:widowControl w:val="0"/>
              <w:kinsoku/>
              <w:wordWrap/>
              <w:overflowPunct/>
              <w:topLinePunct w:val="0"/>
              <w:autoSpaceDE/>
              <w:autoSpaceDN/>
              <w:bidi w:val="0"/>
              <w:adjustRightInd/>
              <w:snapToGrid/>
              <w:spacing w:before="37" w:line="0" w:lineRule="atLeast"/>
              <w:ind w:right="92"/>
              <w:jc w:val="left"/>
              <w:textAlignment w:val="auto"/>
              <w:rPr>
                <w:rFonts w:hint="eastAsia" w:asciiTheme="minorEastAsia" w:hAnsiTheme="minorEastAsia" w:eastAsiaTheme="minorEastAsia" w:cstheme="minorEastAsia"/>
                <w:sz w:val="18"/>
                <w:szCs w:val="18"/>
                <w:highlight w:val="none"/>
                <w:lang w:val="en-US" w:eastAsia="zh-CN"/>
              </w:rPr>
            </w:pPr>
          </w:p>
        </w:tc>
        <w:tc>
          <w:tcPr>
            <w:tcW w:w="1170" w:type="dxa"/>
            <w:tcBorders>
              <w:top w:val="single" w:color="auto" w:sz="4" w:space="0"/>
              <w:left w:val="single" w:color="auto" w:sz="4" w:space="0"/>
              <w:bottom w:val="single" w:color="auto" w:sz="4" w:space="0"/>
              <w:right w:val="single" w:color="auto" w:sz="4" w:space="0"/>
            </w:tcBorders>
          </w:tcPr>
          <w:p>
            <w:pPr>
              <w:pStyle w:val="23"/>
              <w:keepNext w:val="0"/>
              <w:keepLines w:val="0"/>
              <w:pageBreakBefore w:val="0"/>
              <w:widowControl w:val="0"/>
              <w:kinsoku/>
              <w:wordWrap/>
              <w:overflowPunct/>
              <w:topLinePunct w:val="0"/>
              <w:autoSpaceDE/>
              <w:autoSpaceDN/>
              <w:bidi w:val="0"/>
              <w:adjustRightInd/>
              <w:snapToGrid/>
              <w:spacing w:before="37" w:line="0" w:lineRule="atLeast"/>
              <w:ind w:right="92"/>
              <w:jc w:val="left"/>
              <w:textAlignment w:val="auto"/>
              <w:rPr>
                <w:rFonts w:hint="eastAsia" w:asciiTheme="minorEastAsia" w:hAnsiTheme="minorEastAsia" w:eastAsiaTheme="minorEastAsia" w:cstheme="minorEastAsia"/>
                <w:sz w:val="18"/>
                <w:szCs w:val="18"/>
                <w:highlight w:val="none"/>
                <w:lang w:val="en-US" w:eastAsia="zh-CN"/>
              </w:rPr>
            </w:pPr>
          </w:p>
        </w:tc>
        <w:tc>
          <w:tcPr>
            <w:tcW w:w="5736" w:type="dxa"/>
            <w:vMerge w:val="restart"/>
            <w:tcBorders>
              <w:top w:val="single" w:color="auto" w:sz="4" w:space="0"/>
              <w:left w:val="single" w:color="auto" w:sz="4" w:space="0"/>
              <w:bottom w:val="single" w:color="auto" w:sz="4" w:space="0"/>
              <w:right w:val="single" w:color="auto" w:sz="4" w:space="0"/>
            </w:tcBorders>
            <w:vAlign w:val="top"/>
          </w:tcPr>
          <w:p>
            <w:pPr>
              <w:pStyle w:val="23"/>
              <w:keepNext w:val="0"/>
              <w:keepLines w:val="0"/>
              <w:pageBreakBefore w:val="0"/>
              <w:widowControl w:val="0"/>
              <w:kinsoku/>
              <w:wordWrap/>
              <w:overflowPunct/>
              <w:topLinePunct w:val="0"/>
              <w:autoSpaceDE/>
              <w:autoSpaceDN/>
              <w:bidi w:val="0"/>
              <w:adjustRightInd/>
              <w:snapToGrid/>
              <w:spacing w:before="120" w:line="240" w:lineRule="exact"/>
              <w:ind w:left="91"/>
              <w:jc w:val="both"/>
              <w:textAlignment w:val="auto"/>
              <w:rPr>
                <w:rFonts w:hint="eastAsia" w:ascii="宋体" w:hAnsi="宋体" w:eastAsia="宋体" w:cs="宋体"/>
                <w:spacing w:val="-1"/>
                <w:sz w:val="18"/>
                <w:szCs w:val="18"/>
                <w:highlight w:val="none"/>
                <w:lang w:val="en-US" w:eastAsia="zh-CN"/>
              </w:rPr>
            </w:pPr>
            <w:r>
              <w:rPr>
                <w:rFonts w:hint="eastAsia" w:asciiTheme="minorEastAsia" w:hAnsiTheme="minorEastAsia" w:eastAsiaTheme="minorEastAsia" w:cstheme="minorEastAsia"/>
                <w:highlight w:val="none"/>
                <w:lang w:val="en-US" w:eastAsia="zh-CN"/>
              </w:rPr>
              <w:t>1</w:t>
            </w:r>
            <w:r>
              <w:rPr>
                <w:rFonts w:hint="eastAsia" w:ascii="宋体" w:hAnsi="宋体" w:eastAsia="宋体" w:cs="宋体"/>
                <w:spacing w:val="-1"/>
                <w:sz w:val="18"/>
                <w:szCs w:val="18"/>
                <w:highlight w:val="none"/>
                <w:lang w:val="en-US" w:eastAsia="zh-CN"/>
              </w:rPr>
              <w:t>、饲料装卸按照库管要求整齐码垛并放置指定位置（日来货约102吨；其中袋装料要求进行堆码），袋装类的饲料卸货由人工进行；禁止使用破坏包装的方式卸货；按照要求分类分批次分状态堆放，堆码高度不超10层，柱距大于10cm，草库堆放距离墙大于1米；</w:t>
            </w:r>
          </w:p>
          <w:p>
            <w:pPr>
              <w:pStyle w:val="23"/>
              <w:keepNext w:val="0"/>
              <w:keepLines w:val="0"/>
              <w:pageBreakBefore w:val="0"/>
              <w:widowControl w:val="0"/>
              <w:kinsoku/>
              <w:wordWrap/>
              <w:overflowPunct/>
              <w:topLinePunct w:val="0"/>
              <w:autoSpaceDE/>
              <w:autoSpaceDN/>
              <w:bidi w:val="0"/>
              <w:adjustRightInd/>
              <w:snapToGrid/>
              <w:spacing w:before="120" w:line="240" w:lineRule="exact"/>
              <w:ind w:left="91"/>
              <w:jc w:val="both"/>
              <w:textAlignment w:val="auto"/>
              <w:rPr>
                <w:rFonts w:hint="eastAsia" w:ascii="宋体" w:hAnsi="宋体" w:eastAsia="宋体" w:cs="宋体"/>
                <w:spacing w:val="-1"/>
                <w:sz w:val="18"/>
                <w:szCs w:val="18"/>
                <w:highlight w:val="none"/>
                <w:lang w:val="en-US" w:eastAsia="zh-CN"/>
              </w:rPr>
            </w:pPr>
            <w:r>
              <w:rPr>
                <w:rFonts w:hint="eastAsia" w:ascii="宋体" w:hAnsi="宋体" w:eastAsia="宋体" w:cs="宋体"/>
                <w:spacing w:val="-1"/>
                <w:sz w:val="18"/>
                <w:szCs w:val="18"/>
                <w:highlight w:val="none"/>
                <w:lang w:val="en-US" w:eastAsia="zh-CN"/>
              </w:rPr>
              <w:t>2、倒运物料时需要将物料从料库 倒运至料仓内（转运距离200米），日转运数量约102吨；</w:t>
            </w:r>
          </w:p>
          <w:p>
            <w:pPr>
              <w:pStyle w:val="23"/>
              <w:keepNext w:val="0"/>
              <w:keepLines w:val="0"/>
              <w:pageBreakBefore w:val="0"/>
              <w:widowControl w:val="0"/>
              <w:kinsoku/>
              <w:wordWrap/>
              <w:overflowPunct/>
              <w:topLinePunct w:val="0"/>
              <w:autoSpaceDE/>
              <w:autoSpaceDN/>
              <w:bidi w:val="0"/>
              <w:adjustRightInd/>
              <w:snapToGrid/>
              <w:spacing w:before="120" w:line="240" w:lineRule="exact"/>
              <w:ind w:left="91"/>
              <w:jc w:val="both"/>
              <w:textAlignment w:val="auto"/>
              <w:rPr>
                <w:rFonts w:hint="eastAsia" w:ascii="宋体" w:hAnsi="宋体" w:eastAsia="宋体" w:cs="宋体"/>
                <w:spacing w:val="-1"/>
                <w:sz w:val="18"/>
                <w:szCs w:val="18"/>
                <w:highlight w:val="none"/>
                <w:lang w:val="en-US" w:eastAsia="zh-CN"/>
              </w:rPr>
            </w:pPr>
            <w:r>
              <w:rPr>
                <w:rFonts w:hint="eastAsia" w:ascii="宋体" w:hAnsi="宋体" w:eastAsia="宋体" w:cs="宋体"/>
                <w:spacing w:val="-1"/>
                <w:sz w:val="18"/>
                <w:szCs w:val="18"/>
                <w:highlight w:val="none"/>
                <w:lang w:val="en-US" w:eastAsia="zh-CN"/>
              </w:rPr>
              <w:t>3、预混料制作在小料车间，需按要求拆袋称量后，配制进仓；</w:t>
            </w:r>
          </w:p>
          <w:p>
            <w:pPr>
              <w:pStyle w:val="23"/>
              <w:keepNext w:val="0"/>
              <w:keepLines w:val="0"/>
              <w:pageBreakBefore w:val="0"/>
              <w:widowControl w:val="0"/>
              <w:kinsoku/>
              <w:wordWrap/>
              <w:overflowPunct/>
              <w:topLinePunct w:val="0"/>
              <w:autoSpaceDE/>
              <w:autoSpaceDN/>
              <w:bidi w:val="0"/>
              <w:adjustRightInd/>
              <w:snapToGrid/>
              <w:spacing w:before="120" w:line="240" w:lineRule="exact"/>
              <w:ind w:left="91"/>
              <w:jc w:val="both"/>
              <w:textAlignment w:val="auto"/>
              <w:rPr>
                <w:rFonts w:hint="eastAsia" w:ascii="宋体" w:hAnsi="宋体" w:eastAsia="宋体" w:cs="宋体"/>
                <w:spacing w:val="-1"/>
                <w:sz w:val="18"/>
                <w:szCs w:val="18"/>
                <w:highlight w:val="none"/>
                <w:lang w:val="en-US" w:eastAsia="zh-CN"/>
              </w:rPr>
            </w:pPr>
            <w:r>
              <w:rPr>
                <w:rFonts w:hint="eastAsia" w:ascii="宋体" w:hAnsi="宋体" w:eastAsia="宋体" w:cs="宋体"/>
                <w:spacing w:val="-1"/>
                <w:sz w:val="18"/>
                <w:szCs w:val="18"/>
                <w:highlight w:val="none"/>
                <w:lang w:val="en-US" w:eastAsia="zh-CN"/>
              </w:rPr>
              <w:t>4、及时清理散落的饲料，保持现场卫生整洁；</w:t>
            </w:r>
          </w:p>
          <w:p>
            <w:pPr>
              <w:pStyle w:val="23"/>
              <w:keepNext w:val="0"/>
              <w:keepLines w:val="0"/>
              <w:pageBreakBefore w:val="0"/>
              <w:widowControl w:val="0"/>
              <w:kinsoku/>
              <w:wordWrap/>
              <w:overflowPunct/>
              <w:topLinePunct w:val="0"/>
              <w:autoSpaceDE/>
              <w:autoSpaceDN/>
              <w:bidi w:val="0"/>
              <w:adjustRightInd/>
              <w:snapToGrid/>
              <w:spacing w:before="120" w:line="240" w:lineRule="exact"/>
              <w:ind w:left="91"/>
              <w:jc w:val="both"/>
              <w:textAlignment w:val="auto"/>
              <w:rPr>
                <w:rFonts w:hint="eastAsia" w:ascii="宋体" w:hAnsi="宋体" w:eastAsia="宋体" w:cs="宋体"/>
                <w:spacing w:val="-1"/>
                <w:sz w:val="18"/>
                <w:szCs w:val="18"/>
                <w:highlight w:val="none"/>
                <w:lang w:val="en-US" w:eastAsia="zh-CN"/>
              </w:rPr>
            </w:pPr>
            <w:r>
              <w:rPr>
                <w:rFonts w:hint="eastAsia" w:ascii="宋体" w:hAnsi="宋体" w:eastAsia="宋体" w:cs="宋体"/>
                <w:spacing w:val="-1"/>
                <w:sz w:val="18"/>
                <w:szCs w:val="18"/>
                <w:highlight w:val="none"/>
                <w:lang w:val="en-US" w:eastAsia="zh-CN"/>
              </w:rPr>
              <w:t>5、根据实际需求对物料进行遮盖；</w:t>
            </w:r>
          </w:p>
          <w:p>
            <w:pPr>
              <w:pStyle w:val="23"/>
              <w:keepNext w:val="0"/>
              <w:keepLines w:val="0"/>
              <w:pageBreakBefore w:val="0"/>
              <w:widowControl w:val="0"/>
              <w:kinsoku/>
              <w:wordWrap/>
              <w:overflowPunct/>
              <w:topLinePunct w:val="0"/>
              <w:autoSpaceDE/>
              <w:autoSpaceDN/>
              <w:bidi w:val="0"/>
              <w:adjustRightInd/>
              <w:snapToGrid/>
              <w:spacing w:before="120" w:line="240" w:lineRule="exact"/>
              <w:ind w:left="91"/>
              <w:jc w:val="both"/>
              <w:textAlignment w:val="auto"/>
              <w:rPr>
                <w:rFonts w:hint="eastAsia" w:ascii="宋体" w:hAnsi="宋体" w:eastAsia="宋体" w:cs="宋体"/>
                <w:spacing w:val="-1"/>
                <w:sz w:val="18"/>
                <w:szCs w:val="18"/>
                <w:highlight w:val="none"/>
                <w:lang w:val="en-US" w:eastAsia="zh-CN"/>
              </w:rPr>
            </w:pPr>
            <w:r>
              <w:rPr>
                <w:rFonts w:hint="eastAsia" w:ascii="宋体" w:hAnsi="宋体" w:eastAsia="宋体" w:cs="宋体"/>
                <w:spacing w:val="-1"/>
                <w:sz w:val="18"/>
                <w:szCs w:val="18"/>
                <w:highlight w:val="none"/>
                <w:lang w:val="en-US" w:eastAsia="zh-CN"/>
              </w:rPr>
              <w:t>6、特种车辆驾驶人员需要持证上岗；</w:t>
            </w:r>
          </w:p>
          <w:p>
            <w:pPr>
              <w:pStyle w:val="23"/>
              <w:keepNext w:val="0"/>
              <w:keepLines w:val="0"/>
              <w:pageBreakBefore w:val="0"/>
              <w:widowControl w:val="0"/>
              <w:kinsoku/>
              <w:wordWrap/>
              <w:overflowPunct/>
              <w:topLinePunct w:val="0"/>
              <w:autoSpaceDE/>
              <w:autoSpaceDN/>
              <w:bidi w:val="0"/>
              <w:adjustRightInd/>
              <w:snapToGrid/>
              <w:spacing w:before="120" w:line="240" w:lineRule="exact"/>
              <w:ind w:left="91"/>
              <w:jc w:val="both"/>
              <w:textAlignment w:val="auto"/>
              <w:rPr>
                <w:rFonts w:hint="eastAsia" w:ascii="宋体" w:hAnsi="宋体" w:eastAsia="宋体" w:cs="宋体"/>
                <w:spacing w:val="-1"/>
                <w:sz w:val="18"/>
                <w:szCs w:val="18"/>
                <w:highlight w:val="none"/>
                <w:lang w:val="en-US" w:eastAsia="zh-CN"/>
              </w:rPr>
            </w:pPr>
            <w:r>
              <w:rPr>
                <w:rFonts w:hint="eastAsia" w:ascii="宋体" w:hAnsi="宋体" w:eastAsia="宋体" w:cs="宋体"/>
                <w:spacing w:val="-1"/>
                <w:sz w:val="18"/>
                <w:szCs w:val="18"/>
                <w:highlight w:val="none"/>
                <w:lang w:val="en-US" w:eastAsia="zh-CN"/>
              </w:rPr>
              <w:t>7、牧场提供部分车辆（可正常使用），包括50装机1台、叉车一台、金刚车一台，其余车辆及工具由承包方自行组织；</w:t>
            </w:r>
          </w:p>
          <w:p>
            <w:pPr>
              <w:pStyle w:val="23"/>
              <w:keepNext w:val="0"/>
              <w:keepLines w:val="0"/>
              <w:pageBreakBefore w:val="0"/>
              <w:widowControl w:val="0"/>
              <w:kinsoku/>
              <w:wordWrap/>
              <w:overflowPunct/>
              <w:topLinePunct w:val="0"/>
              <w:autoSpaceDE/>
              <w:autoSpaceDN/>
              <w:bidi w:val="0"/>
              <w:adjustRightInd/>
              <w:snapToGrid/>
              <w:spacing w:before="120" w:line="240" w:lineRule="exact"/>
              <w:ind w:left="91"/>
              <w:jc w:val="both"/>
              <w:textAlignment w:val="auto"/>
              <w:rPr>
                <w:rFonts w:hint="eastAsia" w:ascii="宋体" w:hAnsi="宋体" w:eastAsia="宋体" w:cs="宋体"/>
                <w:spacing w:val="-1"/>
                <w:sz w:val="18"/>
                <w:szCs w:val="18"/>
                <w:highlight w:val="none"/>
                <w:lang w:val="en-US" w:eastAsia="zh-CN"/>
              </w:rPr>
            </w:pPr>
            <w:r>
              <w:rPr>
                <w:rFonts w:hint="eastAsia" w:ascii="宋体" w:hAnsi="宋体" w:eastAsia="宋体" w:cs="宋体"/>
                <w:spacing w:val="-1"/>
                <w:sz w:val="18"/>
                <w:szCs w:val="18"/>
                <w:highlight w:val="none"/>
                <w:lang w:val="en-US" w:eastAsia="zh-CN"/>
              </w:rPr>
              <w:t>8、所有设备使用的燃油、维修费用、保养费用、人员保险、食宿、劳保用品、税费等均由承包方负责，牧场提供的车辆保养频次需按牧场设备保养计划执行（装载机、叉车、金刚车每月更换机油、机滤、柴滤；预计费用17000元，液压油及液力传动油预计费用6000元），合同期满后承包方对设备进行检修保养，确保车辆正常使用后交付牧场。</w:t>
            </w:r>
          </w:p>
          <w:p>
            <w:pPr>
              <w:pStyle w:val="23"/>
              <w:keepNext w:val="0"/>
              <w:keepLines w:val="0"/>
              <w:pageBreakBefore w:val="0"/>
              <w:widowControl w:val="0"/>
              <w:kinsoku/>
              <w:wordWrap/>
              <w:overflowPunct/>
              <w:topLinePunct w:val="0"/>
              <w:autoSpaceDE/>
              <w:autoSpaceDN/>
              <w:bidi w:val="0"/>
              <w:adjustRightInd/>
              <w:snapToGrid/>
              <w:spacing w:before="120" w:line="240" w:lineRule="exact"/>
              <w:ind w:left="91"/>
              <w:jc w:val="both"/>
              <w:textAlignment w:val="auto"/>
              <w:rPr>
                <w:rFonts w:hint="default"/>
                <w:sz w:val="18"/>
                <w:szCs w:val="18"/>
                <w:highlight w:val="none"/>
                <w:lang w:val="en-US" w:eastAsia="zh-CN"/>
              </w:rPr>
            </w:pPr>
            <w:r>
              <w:rPr>
                <w:rFonts w:hint="eastAsia" w:ascii="宋体" w:hAnsi="宋体" w:eastAsia="宋体" w:cs="宋体"/>
                <w:spacing w:val="-1"/>
                <w:sz w:val="18"/>
                <w:szCs w:val="18"/>
                <w:highlight w:val="none"/>
                <w:lang w:val="en-US" w:eastAsia="zh-CN"/>
              </w:rPr>
              <w:t>9、投标报价不得高于限标价，否则废标处理。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jc w:val="center"/>
        </w:trPr>
        <w:tc>
          <w:tcPr>
            <w:tcW w:w="779" w:type="dxa"/>
            <w:vMerge w:val="continue"/>
            <w:tcBorders>
              <w:top w:val="single" w:color="auto" w:sz="4" w:space="0"/>
              <w:left w:val="single" w:color="auto" w:sz="4" w:space="0"/>
              <w:bottom w:val="single" w:color="auto" w:sz="4" w:space="0"/>
              <w:right w:val="single" w:color="auto" w:sz="4" w:space="0"/>
            </w:tcBorders>
          </w:tcPr>
          <w:p>
            <w:pPr>
              <w:rPr>
                <w:rFonts w:ascii="Arial"/>
                <w:sz w:val="18"/>
                <w:szCs w:val="18"/>
                <w:highlight w:val="none"/>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before="72" w:line="219" w:lineRule="auto"/>
              <w:jc w:val="center"/>
              <w:rPr>
                <w:rFonts w:hint="eastAsia" w:ascii="宋体" w:hAnsi="宋体" w:eastAsia="宋体" w:cs="宋体"/>
                <w:kern w:val="2"/>
                <w:sz w:val="18"/>
                <w:szCs w:val="18"/>
                <w:highlight w:val="none"/>
                <w:lang w:val="en-US" w:eastAsia="en-US" w:bidi="ar-SA"/>
              </w:rPr>
            </w:pPr>
            <w:r>
              <w:rPr>
                <w:spacing w:val="-2"/>
                <w:sz w:val="18"/>
                <w:szCs w:val="18"/>
                <w:highlight w:val="none"/>
              </w:rPr>
              <w:t>散装料</w:t>
            </w:r>
          </w:p>
        </w:tc>
        <w:tc>
          <w:tcPr>
            <w:tcW w:w="22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default" w:ascii="宋体" w:hAnsi="宋体" w:eastAsia="宋体" w:cs="宋体"/>
                <w:spacing w:val="-1"/>
                <w:sz w:val="18"/>
                <w:szCs w:val="18"/>
                <w:highlight w:val="none"/>
                <w:lang w:val="en-US" w:eastAsia="zh-CN"/>
              </w:rPr>
            </w:pPr>
            <w:r>
              <w:rPr>
                <w:rFonts w:hint="eastAsia" w:ascii="宋体" w:hAnsi="宋体" w:eastAsia="宋体" w:cs="宋体"/>
                <w:spacing w:val="-1"/>
                <w:sz w:val="18"/>
                <w:szCs w:val="18"/>
                <w:highlight w:val="none"/>
                <w:lang w:eastAsia="zh-CN"/>
              </w:rPr>
              <w:t>玉米、压片玉米、稻糠、稻壳等</w:t>
            </w:r>
            <w:r>
              <w:rPr>
                <w:rFonts w:hint="eastAsia" w:ascii="宋体" w:hAnsi="宋体" w:eastAsia="宋体" w:cs="宋体"/>
                <w:spacing w:val="-1"/>
                <w:sz w:val="18"/>
                <w:szCs w:val="18"/>
                <w:highlight w:val="none"/>
                <w:lang w:val="en-US" w:eastAsia="zh-CN"/>
              </w:rPr>
              <w:t>散装原料</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before="71" w:line="229" w:lineRule="auto"/>
              <w:jc w:val="center"/>
              <w:rPr>
                <w:rFonts w:hint="eastAsia" w:ascii="宋体" w:hAnsi="宋体" w:eastAsia="宋体" w:cs="宋体"/>
                <w:kern w:val="2"/>
                <w:sz w:val="18"/>
                <w:szCs w:val="18"/>
                <w:highlight w:val="none"/>
                <w:lang w:val="en-US" w:eastAsia="en-US" w:bidi="ar-SA"/>
              </w:rPr>
            </w:pPr>
            <w:r>
              <w:rPr>
                <w:sz w:val="18"/>
                <w:szCs w:val="18"/>
                <w:highlight w:val="none"/>
              </w:rPr>
              <w:t>吨</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z w:val="18"/>
                <w:szCs w:val="18"/>
                <w:highlight w:val="none"/>
                <w:lang w:val="en-US" w:eastAsia="zh-CN"/>
              </w:rPr>
            </w:pPr>
            <w:r>
              <w:rPr>
                <w:rFonts w:hint="eastAsia" w:asciiTheme="majorEastAsia" w:hAnsiTheme="majorEastAsia" w:eastAsiaTheme="majorEastAsia" w:cstheme="majorEastAsia"/>
                <w:sz w:val="18"/>
                <w:szCs w:val="18"/>
                <w:highlight w:val="none"/>
                <w:lang w:val="en-US" w:eastAsia="zh-CN"/>
              </w:rPr>
              <w:t>20000</w:t>
            </w:r>
          </w:p>
        </w:tc>
        <w:tc>
          <w:tcPr>
            <w:tcW w:w="11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Times New Roman"/>
                <w:bCs/>
                <w:color w:val="000000"/>
                <w:kern w:val="2"/>
                <w:sz w:val="18"/>
                <w:szCs w:val="18"/>
                <w:highlight w:val="none"/>
                <w:lang w:val="en-US" w:eastAsia="zh-CN" w:bidi="ar-SA"/>
              </w:rPr>
            </w:pPr>
            <w:r>
              <w:rPr>
                <w:rFonts w:hint="eastAsia" w:ascii="宋体" w:hAnsi="宋体" w:eastAsia="宋体" w:cs="Times New Roman"/>
                <w:bCs/>
                <w:color w:val="000000"/>
                <w:sz w:val="18"/>
                <w:szCs w:val="18"/>
                <w:highlight w:val="none"/>
                <w:lang w:val="en-US" w:eastAsia="zh-CN"/>
              </w:rPr>
              <w:t>15</w:t>
            </w:r>
            <w:r>
              <w:rPr>
                <w:rFonts w:hint="eastAsia" w:ascii="宋体" w:hAnsi="宋体" w:eastAsia="宋体" w:cs="Times New Roman"/>
                <w:bCs/>
                <w:color w:val="000000"/>
                <w:sz w:val="18"/>
                <w:szCs w:val="18"/>
                <w:highlight w:val="none"/>
              </w:rPr>
              <w:t>元/吨</w:t>
            </w:r>
          </w:p>
        </w:tc>
        <w:tc>
          <w:tcPr>
            <w:tcW w:w="1239" w:type="dxa"/>
            <w:tcBorders>
              <w:top w:val="single" w:color="auto" w:sz="4" w:space="0"/>
              <w:left w:val="single" w:color="auto" w:sz="4" w:space="0"/>
              <w:bottom w:val="single" w:color="auto" w:sz="4" w:space="0"/>
              <w:right w:val="single" w:color="auto" w:sz="4" w:space="0"/>
            </w:tcBorders>
          </w:tcPr>
          <w:p>
            <w:pPr>
              <w:rPr>
                <w:rFonts w:ascii="Arial"/>
                <w:sz w:val="18"/>
                <w:szCs w:val="18"/>
                <w:highlight w:val="none"/>
              </w:rPr>
            </w:pPr>
          </w:p>
        </w:tc>
        <w:tc>
          <w:tcPr>
            <w:tcW w:w="1170" w:type="dxa"/>
            <w:tcBorders>
              <w:top w:val="single" w:color="auto" w:sz="4" w:space="0"/>
              <w:left w:val="single" w:color="auto" w:sz="4" w:space="0"/>
              <w:bottom w:val="single" w:color="auto" w:sz="4" w:space="0"/>
              <w:right w:val="single" w:color="auto" w:sz="4" w:space="0"/>
            </w:tcBorders>
          </w:tcPr>
          <w:p>
            <w:pPr>
              <w:rPr>
                <w:rFonts w:ascii="Arial"/>
                <w:sz w:val="18"/>
                <w:szCs w:val="18"/>
                <w:highlight w:val="none"/>
              </w:rPr>
            </w:pPr>
          </w:p>
        </w:tc>
        <w:tc>
          <w:tcPr>
            <w:tcW w:w="5736" w:type="dxa"/>
            <w:vMerge w:val="continue"/>
            <w:tcBorders>
              <w:top w:val="single" w:color="auto" w:sz="4" w:space="0"/>
              <w:left w:val="single" w:color="auto" w:sz="4" w:space="0"/>
              <w:bottom w:val="single" w:color="auto" w:sz="4" w:space="0"/>
              <w:right w:val="single" w:color="auto" w:sz="4" w:space="0"/>
            </w:tcBorders>
          </w:tcPr>
          <w:p>
            <w:pPr>
              <w:rPr>
                <w:rFonts w:ascii="Arial"/>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4" w:hRule="atLeast"/>
          <w:jc w:val="center"/>
        </w:trPr>
        <w:tc>
          <w:tcPr>
            <w:tcW w:w="779" w:type="dxa"/>
            <w:vMerge w:val="continue"/>
            <w:tcBorders>
              <w:top w:val="single" w:color="auto" w:sz="4" w:space="0"/>
              <w:left w:val="single" w:color="auto" w:sz="4" w:space="0"/>
              <w:bottom w:val="single" w:color="auto" w:sz="4" w:space="0"/>
              <w:right w:val="single" w:color="auto" w:sz="4" w:space="0"/>
            </w:tcBorders>
          </w:tcPr>
          <w:p>
            <w:pPr>
              <w:rPr>
                <w:rFonts w:ascii="Arial"/>
                <w:sz w:val="18"/>
                <w:szCs w:val="18"/>
                <w:highlight w:val="none"/>
              </w:rPr>
            </w:pPr>
          </w:p>
        </w:tc>
        <w:tc>
          <w:tcPr>
            <w:tcW w:w="1029" w:type="dxa"/>
            <w:tcBorders>
              <w:top w:val="single" w:color="auto" w:sz="4" w:space="0"/>
              <w:left w:val="single" w:color="auto" w:sz="4" w:space="0"/>
              <w:bottom w:val="single" w:color="auto" w:sz="4" w:space="0"/>
              <w:right w:val="single" w:color="auto" w:sz="4" w:space="0"/>
            </w:tcBorders>
            <w:vAlign w:val="center"/>
          </w:tcPr>
          <w:p>
            <w:pPr>
              <w:pStyle w:val="23"/>
              <w:spacing w:before="72" w:line="219" w:lineRule="auto"/>
              <w:jc w:val="center"/>
              <w:rPr>
                <w:rFonts w:hint="default" w:eastAsia="宋体"/>
                <w:sz w:val="18"/>
                <w:szCs w:val="18"/>
                <w:highlight w:val="none"/>
                <w:lang w:val="en-US" w:eastAsia="zh-CN"/>
              </w:rPr>
            </w:pPr>
            <w:r>
              <w:rPr>
                <w:rFonts w:hint="eastAsia"/>
                <w:spacing w:val="-2"/>
                <w:sz w:val="18"/>
                <w:szCs w:val="18"/>
                <w:highlight w:val="none"/>
                <w:lang w:val="en-US" w:eastAsia="zh-CN"/>
              </w:rPr>
              <w:t>吨包料</w:t>
            </w:r>
          </w:p>
        </w:tc>
        <w:tc>
          <w:tcPr>
            <w:tcW w:w="221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snapToGrid/>
              <w:spacing w:before="120" w:line="0" w:lineRule="atLeast"/>
              <w:ind w:left="92"/>
              <w:jc w:val="both"/>
              <w:textAlignment w:val="auto"/>
              <w:rPr>
                <w:rFonts w:hint="default" w:ascii="宋体" w:hAnsi="宋体" w:eastAsia="宋体" w:cs="宋体"/>
                <w:spacing w:val="-1"/>
                <w:sz w:val="18"/>
                <w:szCs w:val="18"/>
                <w:highlight w:val="none"/>
                <w:lang w:val="en-US" w:eastAsia="zh-CN"/>
              </w:rPr>
            </w:pPr>
            <w:r>
              <w:rPr>
                <w:rFonts w:hint="eastAsia" w:ascii="宋体" w:hAnsi="宋体" w:eastAsia="宋体" w:cs="宋体"/>
                <w:spacing w:val="-1"/>
                <w:sz w:val="18"/>
                <w:szCs w:val="18"/>
                <w:highlight w:val="none"/>
                <w:lang w:eastAsia="zh-CN"/>
              </w:rPr>
              <w:t>甜菜颗粒、</w:t>
            </w:r>
            <w:r>
              <w:rPr>
                <w:rFonts w:hint="eastAsia" w:ascii="宋体" w:hAnsi="宋体" w:eastAsia="宋体" w:cs="宋体"/>
                <w:spacing w:val="-1"/>
                <w:sz w:val="18"/>
                <w:szCs w:val="18"/>
                <w:highlight w:val="none"/>
                <w:lang w:val="en-US" w:eastAsia="zh-CN"/>
              </w:rPr>
              <w:t>半干啤酒糟、</w:t>
            </w:r>
            <w:r>
              <w:rPr>
                <w:rFonts w:hint="eastAsia" w:ascii="宋体" w:hAnsi="宋体" w:eastAsia="宋体" w:cs="宋体"/>
                <w:spacing w:val="-1"/>
                <w:sz w:val="18"/>
                <w:szCs w:val="18"/>
                <w:highlight w:val="none"/>
                <w:lang w:eastAsia="zh-CN"/>
              </w:rPr>
              <w:t>预混料类等</w:t>
            </w:r>
            <w:r>
              <w:rPr>
                <w:rFonts w:hint="eastAsia" w:ascii="宋体" w:hAnsi="宋体" w:eastAsia="宋体" w:cs="宋体"/>
                <w:spacing w:val="-1"/>
                <w:sz w:val="18"/>
                <w:szCs w:val="18"/>
                <w:highlight w:val="none"/>
                <w:lang w:val="en-US" w:eastAsia="zh-CN"/>
              </w:rPr>
              <w:t>大白包装原料</w:t>
            </w:r>
          </w:p>
        </w:tc>
        <w:tc>
          <w:tcPr>
            <w:tcW w:w="994" w:type="dxa"/>
            <w:tcBorders>
              <w:top w:val="single" w:color="auto" w:sz="4" w:space="0"/>
              <w:left w:val="single" w:color="auto" w:sz="4" w:space="0"/>
              <w:bottom w:val="single" w:color="auto" w:sz="4" w:space="0"/>
              <w:right w:val="single" w:color="auto" w:sz="4" w:space="0"/>
            </w:tcBorders>
            <w:vAlign w:val="center"/>
          </w:tcPr>
          <w:p>
            <w:pPr>
              <w:pStyle w:val="23"/>
              <w:spacing w:before="71" w:line="229" w:lineRule="auto"/>
              <w:jc w:val="center"/>
              <w:rPr>
                <w:rFonts w:hint="eastAsia"/>
                <w:sz w:val="18"/>
                <w:szCs w:val="18"/>
                <w:highlight w:val="none"/>
              </w:rPr>
            </w:pPr>
            <w:r>
              <w:rPr>
                <w:sz w:val="18"/>
                <w:szCs w:val="18"/>
                <w:highlight w:val="none"/>
              </w:rPr>
              <w:t>吨</w:t>
            </w: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ajorEastAsia" w:hAnsiTheme="majorEastAsia" w:eastAsiaTheme="majorEastAsia" w:cstheme="majorEastAsia"/>
                <w:sz w:val="18"/>
                <w:szCs w:val="18"/>
                <w:highlight w:val="none"/>
                <w:lang w:val="en-US" w:eastAsia="zh-CN"/>
              </w:rPr>
            </w:pPr>
            <w:r>
              <w:rPr>
                <w:rFonts w:hint="eastAsia" w:asciiTheme="majorEastAsia" w:hAnsiTheme="majorEastAsia" w:eastAsiaTheme="majorEastAsia" w:cstheme="majorEastAsia"/>
                <w:sz w:val="18"/>
                <w:szCs w:val="18"/>
                <w:highlight w:val="none"/>
                <w:lang w:val="en-US" w:eastAsia="zh-CN"/>
              </w:rPr>
              <w:t>1000</w:t>
            </w:r>
          </w:p>
        </w:tc>
        <w:tc>
          <w:tcPr>
            <w:tcW w:w="1186" w:type="dxa"/>
            <w:tcBorders>
              <w:top w:val="single" w:color="auto" w:sz="4" w:space="0"/>
              <w:left w:val="single" w:color="auto" w:sz="4" w:space="0"/>
              <w:bottom w:val="single" w:color="auto" w:sz="4" w:space="0"/>
              <w:right w:val="single" w:color="auto" w:sz="4" w:space="0"/>
            </w:tcBorders>
            <w:vAlign w:val="center"/>
          </w:tcPr>
          <w:p>
            <w:pPr>
              <w:widowControl/>
              <w:ind w:firstLine="180" w:firstLineChars="100"/>
              <w:jc w:val="center"/>
              <w:textAlignment w:val="center"/>
              <w:rPr>
                <w:rFonts w:hint="eastAsia" w:ascii="宋体" w:hAnsi="宋体" w:eastAsia="宋体" w:cs="Times New Roman"/>
                <w:bCs/>
                <w:color w:val="000000"/>
                <w:kern w:val="2"/>
                <w:sz w:val="18"/>
                <w:szCs w:val="18"/>
                <w:highlight w:val="none"/>
                <w:lang w:val="en-US" w:eastAsia="zh-CN" w:bidi="ar-SA"/>
              </w:rPr>
            </w:pPr>
            <w:r>
              <w:rPr>
                <w:rFonts w:hint="eastAsia" w:ascii="宋体" w:hAnsi="宋体" w:eastAsia="宋体" w:cs="Times New Roman"/>
                <w:bCs/>
                <w:color w:val="000000"/>
                <w:sz w:val="18"/>
                <w:szCs w:val="18"/>
                <w:highlight w:val="none"/>
                <w:lang w:val="en-US" w:eastAsia="zh-CN"/>
              </w:rPr>
              <w:t>15</w:t>
            </w:r>
            <w:r>
              <w:rPr>
                <w:rFonts w:hint="eastAsia" w:ascii="宋体" w:hAnsi="宋体" w:eastAsia="宋体" w:cs="Times New Roman"/>
                <w:bCs/>
                <w:color w:val="000000"/>
                <w:sz w:val="18"/>
                <w:szCs w:val="18"/>
                <w:highlight w:val="none"/>
              </w:rPr>
              <w:t>元/吨</w:t>
            </w:r>
          </w:p>
        </w:tc>
        <w:tc>
          <w:tcPr>
            <w:tcW w:w="1239" w:type="dxa"/>
            <w:tcBorders>
              <w:top w:val="single" w:color="auto" w:sz="4" w:space="0"/>
              <w:left w:val="single" w:color="auto" w:sz="4" w:space="0"/>
              <w:bottom w:val="single" w:color="auto" w:sz="4" w:space="0"/>
              <w:right w:val="single" w:color="auto" w:sz="4" w:space="0"/>
            </w:tcBorders>
          </w:tcPr>
          <w:p>
            <w:pPr>
              <w:rPr>
                <w:rFonts w:ascii="Arial"/>
                <w:sz w:val="18"/>
                <w:szCs w:val="18"/>
                <w:highlight w:val="none"/>
              </w:rPr>
            </w:pPr>
          </w:p>
        </w:tc>
        <w:tc>
          <w:tcPr>
            <w:tcW w:w="1170" w:type="dxa"/>
            <w:tcBorders>
              <w:top w:val="single" w:color="auto" w:sz="4" w:space="0"/>
              <w:left w:val="single" w:color="auto" w:sz="4" w:space="0"/>
              <w:bottom w:val="single" w:color="auto" w:sz="4" w:space="0"/>
              <w:right w:val="single" w:color="auto" w:sz="4" w:space="0"/>
            </w:tcBorders>
          </w:tcPr>
          <w:p>
            <w:pPr>
              <w:rPr>
                <w:rFonts w:hint="eastAsia"/>
                <w:sz w:val="18"/>
                <w:szCs w:val="18"/>
                <w:highlight w:val="none"/>
                <w:lang w:val="en-US" w:eastAsia="zh-CN"/>
              </w:rPr>
            </w:pPr>
          </w:p>
          <w:p>
            <w:pPr>
              <w:pStyle w:val="7"/>
              <w:rPr>
                <w:rFonts w:hint="default"/>
                <w:sz w:val="18"/>
                <w:szCs w:val="18"/>
                <w:highlight w:val="none"/>
                <w:lang w:val="en-US" w:eastAsia="zh-CN"/>
              </w:rPr>
            </w:pPr>
          </w:p>
        </w:tc>
        <w:tc>
          <w:tcPr>
            <w:tcW w:w="5736" w:type="dxa"/>
            <w:vMerge w:val="continue"/>
            <w:tcBorders>
              <w:top w:val="single" w:color="auto" w:sz="4" w:space="0"/>
              <w:left w:val="single" w:color="auto" w:sz="4" w:space="0"/>
              <w:bottom w:val="single" w:color="auto" w:sz="4" w:space="0"/>
              <w:right w:val="single" w:color="auto" w:sz="4" w:space="0"/>
            </w:tcBorders>
          </w:tcPr>
          <w:p>
            <w:pPr>
              <w:rPr>
                <w:rFonts w:ascii="Arial"/>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15394" w:type="dxa"/>
            <w:gridSpan w:val="9"/>
            <w:tcBorders>
              <w:top w:val="single" w:color="auto" w:sz="4" w:space="0"/>
              <w:left w:val="single" w:color="auto" w:sz="4" w:space="0"/>
              <w:bottom w:val="single" w:color="auto" w:sz="4" w:space="0"/>
              <w:right w:val="single" w:color="auto" w:sz="4" w:space="0"/>
            </w:tcBorders>
            <w:vAlign w:val="center"/>
          </w:tcPr>
          <w:p>
            <w:pPr>
              <w:jc w:val="both"/>
              <w:rPr>
                <w:rFonts w:hint="default" w:ascii="Arial" w:eastAsiaTheme="minorEastAsia"/>
                <w:sz w:val="18"/>
                <w:szCs w:val="18"/>
                <w:highlight w:val="none"/>
                <w:lang w:val="en-US" w:eastAsia="zh-CN"/>
              </w:rPr>
            </w:pPr>
            <w:r>
              <w:rPr>
                <w:rFonts w:hint="eastAsia" w:ascii="Arial"/>
                <w:sz w:val="18"/>
                <w:szCs w:val="18"/>
                <w:highlight w:val="none"/>
                <w:lang w:val="en-US" w:eastAsia="zh-CN"/>
              </w:rPr>
              <w:t>合计费用：</w:t>
            </w:r>
            <w:r>
              <w:rPr>
                <w:rFonts w:hint="eastAsia" w:ascii="Arial"/>
                <w:sz w:val="18"/>
                <w:szCs w:val="18"/>
                <w:highlight w:val="none"/>
                <w:u w:val="single"/>
                <w:lang w:val="en-US" w:eastAsia="zh-CN"/>
              </w:rPr>
              <w:t xml:space="preserve">              </w:t>
            </w:r>
            <w:r>
              <w:rPr>
                <w:rFonts w:hint="eastAsia" w:ascii="Arial"/>
                <w:sz w:val="18"/>
                <w:szCs w:val="18"/>
                <w:highlight w:val="none"/>
                <w:u w:val="none"/>
                <w:lang w:val="en-US" w:eastAsia="zh-CN"/>
              </w:rPr>
              <w:t>元/年，税率：</w:t>
            </w:r>
            <w:r>
              <w:rPr>
                <w:rFonts w:hint="eastAsia" w:ascii="Arial"/>
                <w:sz w:val="18"/>
                <w:szCs w:val="18"/>
                <w:highlight w:val="none"/>
                <w:u w:val="single"/>
                <w:lang w:val="en-US" w:eastAsia="zh-CN"/>
              </w:rPr>
              <w:t xml:space="preserve">    </w:t>
            </w:r>
            <w:r>
              <w:rPr>
                <w:rFonts w:hint="eastAsia" w:ascii="Arial"/>
                <w:sz w:val="18"/>
                <w:szCs w:val="18"/>
                <w:highlight w:val="none"/>
                <w:u w:val="none"/>
                <w:lang w:val="en-US" w:eastAsia="zh-CN"/>
              </w:rPr>
              <w:t>%</w:t>
            </w:r>
          </w:p>
        </w:tc>
      </w:tr>
    </w:tbl>
    <w:p>
      <w:pPr>
        <w:widowControl/>
        <w:jc w:val="left"/>
        <w:rPr>
          <w:rFonts w:hint="default" w:ascii="Times New Roman" w:hAnsi="宋体" w:eastAsia="宋体" w:cs="Times New Roman"/>
          <w:b w:val="0"/>
          <w:bCs w:val="0"/>
          <w:sz w:val="24"/>
          <w:szCs w:val="24"/>
          <w:highlight w:val="none"/>
          <w:lang w:val="en-US" w:eastAsia="zh-CN"/>
        </w:rPr>
      </w:pPr>
      <w:r>
        <w:rPr>
          <w:rFonts w:hint="eastAsia" w:ascii="Times New Roman" w:hAnsi="宋体" w:eastAsia="宋体" w:cs="Times New Roman"/>
          <w:b w:val="0"/>
          <w:bCs w:val="0"/>
          <w:sz w:val="24"/>
          <w:szCs w:val="24"/>
          <w:highlight w:val="none"/>
          <w:lang w:val="en-US" w:eastAsia="zh-CN"/>
        </w:rPr>
        <w:t>投标单位（盖章）：                               联系人：                     联系电话：</w:t>
      </w:r>
    </w:p>
    <w:sectPr>
      <w:pgSz w:w="16838" w:h="11906" w:orient="landscape"/>
      <w:pgMar w:top="1134" w:right="1440" w:bottom="1133" w:left="1134" w:header="68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16"/>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r>
                            <w:rPr>
                              <w:rFonts w:hint="eastAsia"/>
                            </w:rPr>
                            <w:t xml:space="preserve"> / </w:t>
                          </w:r>
                          <w:r>
                            <w:fldChar w:fldCharType="begin"/>
                          </w:r>
                          <w:r>
                            <w:instrText xml:space="preserve"> NUMPAGES  \* MERGEFORMAT </w:instrText>
                          </w:r>
                          <w:r>
                            <w:fldChar w:fldCharType="separate"/>
                          </w:r>
                          <w:r>
                            <w:rPr>
                              <w:rFonts w:hint="eastAsia"/>
                            </w:rPr>
                            <w:t>22</w:t>
                          </w:r>
                          <w:r>
                            <w:rPr>
                              <w:rFonts w:hint="eastAsia"/>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FSXrcy/AQAAdAMAAA4AAAAAAAAAAQAgAAAAHgEAAGRycy9lMm9Eb2MueG1sUEsFBgAA&#10;AAAGAAYAWQEAAE8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r>
                      <w:rPr>
                        <w:rFonts w:hint="eastAsia"/>
                      </w:rPr>
                      <w:t xml:space="preserve"> / </w:t>
                    </w:r>
                    <w:r>
                      <w:fldChar w:fldCharType="begin"/>
                    </w:r>
                    <w:r>
                      <w:instrText xml:space="preserve"> NUMPAGES  \* MERGEFORMAT </w:instrText>
                    </w:r>
                    <w:r>
                      <w:fldChar w:fldCharType="separate"/>
                    </w:r>
                    <w:r>
                      <w:rPr>
                        <w:rFonts w:hint="eastAsia"/>
                      </w:rPr>
                      <w:t>22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 </w:t>
                          </w:r>
                          <w:r>
                            <w:fldChar w:fldCharType="begin"/>
                          </w:r>
                          <w:r>
                            <w:instrText xml:space="preserve"> NUMPAGES  \* MERGEFORMAT </w:instrText>
                          </w:r>
                          <w:r>
                            <w:fldChar w:fldCharType="separate"/>
                          </w:r>
                          <w:r>
                            <w:rPr>
                              <w:rFonts w:hint="eastAsia"/>
                            </w:rPr>
                            <w:t>22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STa1QFgIAABcEAAAOAAAAAAAA&#10;AAEAIAAAAB8BAABkcnMvZTJvRG9jLnhtbFBLBQYAAAAABgAGAFkBAACnBQ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 </w:t>
                    </w:r>
                    <w:r>
                      <w:fldChar w:fldCharType="begin"/>
                    </w:r>
                    <w:r>
                      <w:instrText xml:space="preserve"> NUMPAGES  \* MERGEFORMAT </w:instrText>
                    </w:r>
                    <w:r>
                      <w:fldChar w:fldCharType="separate"/>
                    </w:r>
                    <w:r>
                      <w:rPr>
                        <w:rFonts w:hint="eastAsia"/>
                      </w:rPr>
                      <w:t>22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18</w:t>
                          </w:r>
                          <w:r>
                            <w:rPr>
                              <w:rFonts w:hint="eastAsia"/>
                            </w:rPr>
                            <w:fldChar w:fldCharType="end"/>
                          </w:r>
                          <w:r>
                            <w:rPr>
                              <w:rFonts w:hint="eastAsia"/>
                            </w:rPr>
                            <w:t xml:space="preserve"> / </w:t>
                          </w:r>
                          <w:r>
                            <w:fldChar w:fldCharType="begin"/>
                          </w:r>
                          <w:r>
                            <w:instrText xml:space="preserve"> NUMPAGES  \* MERGEFORMAT </w:instrText>
                          </w:r>
                          <w:r>
                            <w:fldChar w:fldCharType="separate"/>
                          </w:r>
                          <w:r>
                            <w:rPr>
                              <w:rFonts w:hint="eastAsia"/>
                            </w:rPr>
                            <w:t>22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ik70oWAgAAFwQAAA4AAABkcnMvZTJvRG9jLnhtbK1TzY7TMBC+I/EO&#10;lu80aYFV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YpO9KFgIAABcEAAAOAAAAAAAA&#10;AAEAIAAAAB8BAABkcnMvZTJvRG9jLnhtbFBLBQYAAAAABgAGAFkBAACnBQ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18</w:t>
                    </w:r>
                    <w:r>
                      <w:rPr>
                        <w:rFonts w:hint="eastAsia"/>
                      </w:rPr>
                      <w:fldChar w:fldCharType="end"/>
                    </w:r>
                    <w:r>
                      <w:rPr>
                        <w:rFonts w:hint="eastAsia"/>
                      </w:rPr>
                      <w:t xml:space="preserve"> / </w:t>
                    </w:r>
                    <w:r>
                      <w:fldChar w:fldCharType="begin"/>
                    </w:r>
                    <w:r>
                      <w:instrText xml:space="preserve"> NUMPAGES  \* MERGEFORMAT </w:instrText>
                    </w:r>
                    <w:r>
                      <w:fldChar w:fldCharType="separate"/>
                    </w:r>
                    <w:r>
                      <w:rPr>
                        <w:rFonts w:hint="eastAsia"/>
                      </w:rPr>
                      <w:t>22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align>top</wp:align>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19</w:t>
                          </w:r>
                          <w:r>
                            <w:rPr>
                              <w:rFonts w:hint="eastAsia"/>
                            </w:rPr>
                            <w:fldChar w:fldCharType="end"/>
                          </w:r>
                          <w:r>
                            <w:rPr>
                              <w:rFonts w:hint="eastAsia"/>
                            </w:rPr>
                            <w:t xml:space="preserve"> / </w:t>
                          </w:r>
                          <w:r>
                            <w:fldChar w:fldCharType="begin"/>
                          </w:r>
                          <w:r>
                            <w:instrText xml:space="preserve"> NUMPAGES  \* MERGEFORMAT </w:instrText>
                          </w:r>
                          <w:r>
                            <w:fldChar w:fldCharType="separate"/>
                          </w:r>
                          <w:r>
                            <w:rPr>
                              <w:rFonts w:hint="eastAsia"/>
                            </w:rPr>
                            <w:t>22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YlDwQ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1dv83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KGJQ8EAIAAAkEAAAOAAAAAAAAAAEAIAAA&#10;AB8BAABkcnMvZTJvRG9jLnhtbFBLBQYAAAAABgAGAFkBAAChBQ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19</w:t>
                    </w:r>
                    <w:r>
                      <w:rPr>
                        <w:rFonts w:hint="eastAsia"/>
                      </w:rPr>
                      <w:fldChar w:fldCharType="end"/>
                    </w:r>
                    <w:r>
                      <w:rPr>
                        <w:rFonts w:hint="eastAsia"/>
                      </w:rPr>
                      <w:t xml:space="preserve"> / </w:t>
                    </w:r>
                    <w:r>
                      <w:fldChar w:fldCharType="begin"/>
                    </w:r>
                    <w:r>
                      <w:instrText xml:space="preserve"> NUMPAGES  \* MERGEFORMAT </w:instrText>
                    </w:r>
                    <w:r>
                      <w:fldChar w:fldCharType="separate"/>
                    </w:r>
                    <w:r>
                      <w:rPr>
                        <w:rFonts w:hint="eastAsia"/>
                      </w:rPr>
                      <w:t>22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4BD"/>
    <w:rsid w:val="0001141B"/>
    <w:rsid w:val="00033487"/>
    <w:rsid w:val="00053991"/>
    <w:rsid w:val="00061A07"/>
    <w:rsid w:val="000B29A1"/>
    <w:rsid w:val="000D6BA9"/>
    <w:rsid w:val="000E4942"/>
    <w:rsid w:val="000E4BFA"/>
    <w:rsid w:val="000F2A8F"/>
    <w:rsid w:val="00111B57"/>
    <w:rsid w:val="00117678"/>
    <w:rsid w:val="00131F3D"/>
    <w:rsid w:val="00141F42"/>
    <w:rsid w:val="00152064"/>
    <w:rsid w:val="00187C61"/>
    <w:rsid w:val="001B30CE"/>
    <w:rsid w:val="001B5A42"/>
    <w:rsid w:val="001D00AC"/>
    <w:rsid w:val="0020403B"/>
    <w:rsid w:val="00225332"/>
    <w:rsid w:val="002571B6"/>
    <w:rsid w:val="0028362E"/>
    <w:rsid w:val="002C0DB5"/>
    <w:rsid w:val="002E7611"/>
    <w:rsid w:val="00301CCD"/>
    <w:rsid w:val="00303E59"/>
    <w:rsid w:val="003334B2"/>
    <w:rsid w:val="003453BB"/>
    <w:rsid w:val="00352B1B"/>
    <w:rsid w:val="00373DA7"/>
    <w:rsid w:val="00375FEC"/>
    <w:rsid w:val="00392783"/>
    <w:rsid w:val="003D13F4"/>
    <w:rsid w:val="003D3599"/>
    <w:rsid w:val="003F56B9"/>
    <w:rsid w:val="00425AFE"/>
    <w:rsid w:val="00430DAF"/>
    <w:rsid w:val="0043533C"/>
    <w:rsid w:val="00436CF5"/>
    <w:rsid w:val="004868CB"/>
    <w:rsid w:val="004A4FDA"/>
    <w:rsid w:val="004F0CEA"/>
    <w:rsid w:val="005115BD"/>
    <w:rsid w:val="00515945"/>
    <w:rsid w:val="005231E6"/>
    <w:rsid w:val="0057215B"/>
    <w:rsid w:val="0058159E"/>
    <w:rsid w:val="0061636F"/>
    <w:rsid w:val="00656B8D"/>
    <w:rsid w:val="006C5665"/>
    <w:rsid w:val="00703B86"/>
    <w:rsid w:val="00766E51"/>
    <w:rsid w:val="007E447F"/>
    <w:rsid w:val="008150DB"/>
    <w:rsid w:val="00822D37"/>
    <w:rsid w:val="008249C4"/>
    <w:rsid w:val="00843149"/>
    <w:rsid w:val="00847342"/>
    <w:rsid w:val="008538FF"/>
    <w:rsid w:val="00863B28"/>
    <w:rsid w:val="00895ACF"/>
    <w:rsid w:val="0093392A"/>
    <w:rsid w:val="00942FCD"/>
    <w:rsid w:val="009566A3"/>
    <w:rsid w:val="009A2BBB"/>
    <w:rsid w:val="009C0908"/>
    <w:rsid w:val="009C5F10"/>
    <w:rsid w:val="009C711D"/>
    <w:rsid w:val="009D494F"/>
    <w:rsid w:val="00A2148D"/>
    <w:rsid w:val="00A416FA"/>
    <w:rsid w:val="00A53097"/>
    <w:rsid w:val="00A55285"/>
    <w:rsid w:val="00A6114E"/>
    <w:rsid w:val="00AB29D6"/>
    <w:rsid w:val="00AB5125"/>
    <w:rsid w:val="00AE3DF3"/>
    <w:rsid w:val="00B05809"/>
    <w:rsid w:val="00B10C42"/>
    <w:rsid w:val="00B36284"/>
    <w:rsid w:val="00B634BD"/>
    <w:rsid w:val="00B713D6"/>
    <w:rsid w:val="00B72CC1"/>
    <w:rsid w:val="00B90C61"/>
    <w:rsid w:val="00B956B8"/>
    <w:rsid w:val="00BB6331"/>
    <w:rsid w:val="00BF1344"/>
    <w:rsid w:val="00C10162"/>
    <w:rsid w:val="00C17BCF"/>
    <w:rsid w:val="00C37CD8"/>
    <w:rsid w:val="00C44C49"/>
    <w:rsid w:val="00CB61CB"/>
    <w:rsid w:val="00D056AB"/>
    <w:rsid w:val="00D4377A"/>
    <w:rsid w:val="00D75A1A"/>
    <w:rsid w:val="00D77AF7"/>
    <w:rsid w:val="00D946D1"/>
    <w:rsid w:val="00D95E60"/>
    <w:rsid w:val="00DA6B6D"/>
    <w:rsid w:val="00DA6EF9"/>
    <w:rsid w:val="00DD1699"/>
    <w:rsid w:val="00DE0450"/>
    <w:rsid w:val="00DE1794"/>
    <w:rsid w:val="00DF1EE2"/>
    <w:rsid w:val="00E212F7"/>
    <w:rsid w:val="00F06950"/>
    <w:rsid w:val="00F21DA6"/>
    <w:rsid w:val="00F345C6"/>
    <w:rsid w:val="00F57B0E"/>
    <w:rsid w:val="00F754BB"/>
    <w:rsid w:val="00FB0DC3"/>
    <w:rsid w:val="00FB1544"/>
    <w:rsid w:val="00FC1BB2"/>
    <w:rsid w:val="00FC2973"/>
    <w:rsid w:val="00FD3AD0"/>
    <w:rsid w:val="00FD5D90"/>
    <w:rsid w:val="00FE1BD7"/>
    <w:rsid w:val="00FF7978"/>
    <w:rsid w:val="010A2A5A"/>
    <w:rsid w:val="01577B0A"/>
    <w:rsid w:val="01B7323B"/>
    <w:rsid w:val="021B2001"/>
    <w:rsid w:val="02B37DE1"/>
    <w:rsid w:val="032E4022"/>
    <w:rsid w:val="04DE4A9B"/>
    <w:rsid w:val="04FE5EE3"/>
    <w:rsid w:val="071148D9"/>
    <w:rsid w:val="07265A0F"/>
    <w:rsid w:val="085C3304"/>
    <w:rsid w:val="09596510"/>
    <w:rsid w:val="09917161"/>
    <w:rsid w:val="09D276A6"/>
    <w:rsid w:val="09FB5736"/>
    <w:rsid w:val="0B117172"/>
    <w:rsid w:val="0B2322E6"/>
    <w:rsid w:val="0B867252"/>
    <w:rsid w:val="0C087AF9"/>
    <w:rsid w:val="0C610F53"/>
    <w:rsid w:val="0D514B69"/>
    <w:rsid w:val="0EB22AEC"/>
    <w:rsid w:val="0ECE007C"/>
    <w:rsid w:val="0F244A7A"/>
    <w:rsid w:val="114935F4"/>
    <w:rsid w:val="123F501A"/>
    <w:rsid w:val="12F17ED9"/>
    <w:rsid w:val="141069A3"/>
    <w:rsid w:val="16B45C2D"/>
    <w:rsid w:val="16E53258"/>
    <w:rsid w:val="17107EEC"/>
    <w:rsid w:val="176D3D12"/>
    <w:rsid w:val="17936A12"/>
    <w:rsid w:val="17D40644"/>
    <w:rsid w:val="17DC35F7"/>
    <w:rsid w:val="19175004"/>
    <w:rsid w:val="1AD57689"/>
    <w:rsid w:val="1AE860FA"/>
    <w:rsid w:val="1AF42D62"/>
    <w:rsid w:val="1BC870D8"/>
    <w:rsid w:val="1C7C628D"/>
    <w:rsid w:val="1CEC6CD0"/>
    <w:rsid w:val="1D1D2D10"/>
    <w:rsid w:val="1D8B1B26"/>
    <w:rsid w:val="1EA0285C"/>
    <w:rsid w:val="1EAE3B3F"/>
    <w:rsid w:val="1EBE13FC"/>
    <w:rsid w:val="20AA2E36"/>
    <w:rsid w:val="2282419D"/>
    <w:rsid w:val="22FF2817"/>
    <w:rsid w:val="23755A72"/>
    <w:rsid w:val="2377483F"/>
    <w:rsid w:val="2390688E"/>
    <w:rsid w:val="23E9689C"/>
    <w:rsid w:val="24C06F74"/>
    <w:rsid w:val="25227236"/>
    <w:rsid w:val="265A608E"/>
    <w:rsid w:val="265C5F87"/>
    <w:rsid w:val="267C09AA"/>
    <w:rsid w:val="27AA60D2"/>
    <w:rsid w:val="28332F1B"/>
    <w:rsid w:val="291F701A"/>
    <w:rsid w:val="295B1FE6"/>
    <w:rsid w:val="2A4A4ACF"/>
    <w:rsid w:val="2AA1392D"/>
    <w:rsid w:val="2AED4C56"/>
    <w:rsid w:val="2BD02F79"/>
    <w:rsid w:val="2D084781"/>
    <w:rsid w:val="2D7E57B9"/>
    <w:rsid w:val="2DCD536A"/>
    <w:rsid w:val="2EB37960"/>
    <w:rsid w:val="2EF9512E"/>
    <w:rsid w:val="30191D63"/>
    <w:rsid w:val="307B56FD"/>
    <w:rsid w:val="31B92E9A"/>
    <w:rsid w:val="32756C55"/>
    <w:rsid w:val="32A8430A"/>
    <w:rsid w:val="331D6EF0"/>
    <w:rsid w:val="3417517C"/>
    <w:rsid w:val="343747EC"/>
    <w:rsid w:val="347E52A5"/>
    <w:rsid w:val="34AC6D55"/>
    <w:rsid w:val="34D86F49"/>
    <w:rsid w:val="34F27631"/>
    <w:rsid w:val="35C83FD0"/>
    <w:rsid w:val="37031C81"/>
    <w:rsid w:val="38324B15"/>
    <w:rsid w:val="3C291ECA"/>
    <w:rsid w:val="3CBC6E72"/>
    <w:rsid w:val="3D4D07BF"/>
    <w:rsid w:val="3EE6336F"/>
    <w:rsid w:val="40C168C6"/>
    <w:rsid w:val="40C56E3E"/>
    <w:rsid w:val="410C48E2"/>
    <w:rsid w:val="422D1987"/>
    <w:rsid w:val="42BA34D8"/>
    <w:rsid w:val="42C77056"/>
    <w:rsid w:val="43B516FD"/>
    <w:rsid w:val="43D56653"/>
    <w:rsid w:val="43E268C5"/>
    <w:rsid w:val="45111B35"/>
    <w:rsid w:val="45D2237E"/>
    <w:rsid w:val="460C6E78"/>
    <w:rsid w:val="466E6BB4"/>
    <w:rsid w:val="46773E21"/>
    <w:rsid w:val="471D03D1"/>
    <w:rsid w:val="472B6824"/>
    <w:rsid w:val="47836D02"/>
    <w:rsid w:val="47A204A2"/>
    <w:rsid w:val="481857D5"/>
    <w:rsid w:val="48F75A1F"/>
    <w:rsid w:val="48F92E68"/>
    <w:rsid w:val="4A29004F"/>
    <w:rsid w:val="4BB87083"/>
    <w:rsid w:val="4D71432E"/>
    <w:rsid w:val="4E021CB3"/>
    <w:rsid w:val="4EB94279"/>
    <w:rsid w:val="4F085FC2"/>
    <w:rsid w:val="4FCA4389"/>
    <w:rsid w:val="504A7B9D"/>
    <w:rsid w:val="51AD7FD1"/>
    <w:rsid w:val="51F01998"/>
    <w:rsid w:val="553A4629"/>
    <w:rsid w:val="55701391"/>
    <w:rsid w:val="55F9479A"/>
    <w:rsid w:val="563169BD"/>
    <w:rsid w:val="577859D1"/>
    <w:rsid w:val="58D835CA"/>
    <w:rsid w:val="58F259CE"/>
    <w:rsid w:val="5A827BF2"/>
    <w:rsid w:val="5B704539"/>
    <w:rsid w:val="5BC80547"/>
    <w:rsid w:val="5BD03DD7"/>
    <w:rsid w:val="5C2140DF"/>
    <w:rsid w:val="5CD6188C"/>
    <w:rsid w:val="5D6D1167"/>
    <w:rsid w:val="5EE47414"/>
    <w:rsid w:val="60606792"/>
    <w:rsid w:val="60D652DF"/>
    <w:rsid w:val="60ED623F"/>
    <w:rsid w:val="6171438A"/>
    <w:rsid w:val="61E91C8B"/>
    <w:rsid w:val="623B764F"/>
    <w:rsid w:val="63534402"/>
    <w:rsid w:val="63F060AC"/>
    <w:rsid w:val="640017DF"/>
    <w:rsid w:val="66614673"/>
    <w:rsid w:val="66C215B6"/>
    <w:rsid w:val="671D5DDA"/>
    <w:rsid w:val="67500559"/>
    <w:rsid w:val="67AD185C"/>
    <w:rsid w:val="69BF21F3"/>
    <w:rsid w:val="6BE44CBB"/>
    <w:rsid w:val="6C570DF9"/>
    <w:rsid w:val="6E6C5D16"/>
    <w:rsid w:val="6EB332F2"/>
    <w:rsid w:val="708D7BE3"/>
    <w:rsid w:val="713C7FD6"/>
    <w:rsid w:val="74C8273F"/>
    <w:rsid w:val="74E172D6"/>
    <w:rsid w:val="75320078"/>
    <w:rsid w:val="75E34240"/>
    <w:rsid w:val="75EA50AF"/>
    <w:rsid w:val="76670074"/>
    <w:rsid w:val="768772AB"/>
    <w:rsid w:val="771051E5"/>
    <w:rsid w:val="778076F5"/>
    <w:rsid w:val="79696E7F"/>
    <w:rsid w:val="79A14246"/>
    <w:rsid w:val="7B486BA8"/>
    <w:rsid w:val="7BD75ECE"/>
    <w:rsid w:val="7CCB7ED0"/>
    <w:rsid w:val="7E215BAF"/>
    <w:rsid w:val="7ECE28BB"/>
    <w:rsid w:val="7F2807AD"/>
    <w:rsid w:val="7F2B147F"/>
    <w:rsid w:val="7F593463"/>
    <w:rsid w:val="7FB23A7D"/>
    <w:rsid w:val="7FF5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outlineLvl w:val="3"/>
    </w:pPr>
    <w:rPr>
      <w:color w:val="FF0000"/>
      <w:sz w:val="28"/>
      <w:u w:val="single"/>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text"/>
    <w:basedOn w:val="1"/>
    <w:semiHidden/>
    <w:unhideWhenUsed/>
    <w:qFormat/>
    <w:uiPriority w:val="99"/>
    <w:pPr>
      <w:jc w:val="left"/>
    </w:pPr>
  </w:style>
  <w:style w:type="paragraph" w:styleId="7">
    <w:name w:val="Body Text"/>
    <w:basedOn w:val="1"/>
    <w:next w:val="1"/>
    <w:qFormat/>
    <w:uiPriority w:val="0"/>
    <w:pPr>
      <w:spacing w:after="120"/>
    </w:pPr>
  </w:style>
  <w:style w:type="paragraph" w:styleId="8">
    <w:name w:val="Body Text Indent"/>
    <w:basedOn w:val="1"/>
    <w:qFormat/>
    <w:uiPriority w:val="0"/>
    <w:pPr>
      <w:spacing w:after="120"/>
      <w:ind w:left="420" w:leftChars="200"/>
    </w:pPr>
  </w:style>
  <w:style w:type="paragraph" w:styleId="9">
    <w:name w:val="toc 5"/>
    <w:basedOn w:val="1"/>
    <w:next w:val="1"/>
    <w:qFormat/>
    <w:uiPriority w:val="0"/>
    <w:pPr>
      <w:ind w:left="1680" w:leftChars="800"/>
    </w:pPr>
  </w:style>
  <w:style w:type="paragraph" w:styleId="10">
    <w:name w:val="Plain Text"/>
    <w:basedOn w:val="1"/>
    <w:qFormat/>
    <w:uiPriority w:val="0"/>
    <w:rPr>
      <w:rFonts w:ascii="宋体" w:hAnsi="Courier New" w:cs="Courier New"/>
      <w:szCs w:val="21"/>
    </w:rPr>
  </w:style>
  <w:style w:type="paragraph" w:styleId="11">
    <w:name w:val="Date"/>
    <w:basedOn w:val="1"/>
    <w:next w:val="1"/>
    <w:link w:val="20"/>
    <w:unhideWhenUsed/>
    <w:qFormat/>
    <w:uiPriority w:val="99"/>
    <w:pPr>
      <w:ind w:left="100" w:leftChars="2500"/>
    </w:pPr>
  </w:style>
  <w:style w:type="paragraph" w:styleId="12">
    <w:name w:val="footer"/>
    <w:basedOn w:val="1"/>
    <w:link w:val="18"/>
    <w:unhideWhenUsed/>
    <w:qFormat/>
    <w:uiPriority w:val="99"/>
    <w:pPr>
      <w:tabs>
        <w:tab w:val="center" w:pos="4153"/>
        <w:tab w:val="right" w:pos="8306"/>
      </w:tabs>
      <w:snapToGrid w:val="0"/>
      <w:jc w:val="left"/>
    </w:pPr>
    <w:rPr>
      <w:sz w:val="18"/>
      <w:szCs w:val="18"/>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页眉 字符"/>
    <w:basedOn w:val="15"/>
    <w:link w:val="3"/>
    <w:qFormat/>
    <w:uiPriority w:val="99"/>
    <w:rPr>
      <w:sz w:val="18"/>
      <w:szCs w:val="18"/>
    </w:rPr>
  </w:style>
  <w:style w:type="character" w:customStyle="1" w:styleId="18">
    <w:name w:val="页脚 字符"/>
    <w:basedOn w:val="15"/>
    <w:link w:val="12"/>
    <w:qFormat/>
    <w:uiPriority w:val="99"/>
    <w:rPr>
      <w:sz w:val="18"/>
      <w:szCs w:val="18"/>
    </w:rPr>
  </w:style>
  <w:style w:type="paragraph" w:customStyle="1" w:styleId="19">
    <w:name w:val="列表段落1"/>
    <w:basedOn w:val="1"/>
    <w:qFormat/>
    <w:uiPriority w:val="34"/>
    <w:pPr>
      <w:ind w:firstLine="420" w:firstLineChars="200"/>
    </w:pPr>
  </w:style>
  <w:style w:type="character" w:customStyle="1" w:styleId="20">
    <w:name w:val="日期 字符"/>
    <w:basedOn w:val="15"/>
    <w:link w:val="11"/>
    <w:semiHidden/>
    <w:qFormat/>
    <w:uiPriority w:val="99"/>
  </w:style>
  <w:style w:type="paragraph" w:customStyle="1" w:styleId="21">
    <w:name w:val="标准正文"/>
    <w:basedOn w:val="1"/>
    <w:qFormat/>
    <w:uiPriority w:val="0"/>
    <w:pPr>
      <w:ind w:firstLine="480"/>
    </w:pPr>
    <w:rPr>
      <w:lang w:val="zh-CN"/>
    </w:rPr>
  </w:style>
  <w:style w:type="paragraph" w:styleId="22">
    <w:name w:val="List Paragraph"/>
    <w:basedOn w:val="1"/>
    <w:unhideWhenUsed/>
    <w:qFormat/>
    <w:uiPriority w:val="99"/>
    <w:pPr>
      <w:ind w:firstLine="420" w:firstLineChars="200"/>
    </w:pPr>
  </w:style>
  <w:style w:type="paragraph" w:customStyle="1" w:styleId="23">
    <w:name w:val="Table Text"/>
    <w:basedOn w:val="1"/>
    <w:semiHidden/>
    <w:qFormat/>
    <w:uiPriority w:val="0"/>
    <w:rPr>
      <w:rFonts w:ascii="宋体" w:hAnsi="宋体" w:eastAsia="宋体" w:cs="宋体"/>
      <w:sz w:val="22"/>
      <w:lang w:eastAsia="en-US"/>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10690</Words>
  <Characters>11367</Characters>
  <Lines>124</Lines>
  <Paragraphs>34</Paragraphs>
  <TotalTime>16</TotalTime>
  <ScaleCrop>false</ScaleCrop>
  <LinksUpToDate>false</LinksUpToDate>
  <CharactersWithSpaces>11453</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2018-10-23T04:02:00Z</dcterms:created>
  <dc:creator>Windows 用户</dc:creator>
  <cp:lastModifiedBy>会飞的鱼</cp:lastModifiedBy>
  <dcterms:modified xsi:type="dcterms:W3CDTF">2026-03-13T09:43:06Z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8D53E05EF7A44996A0E24BB26DBC99A0_13</vt:lpwstr>
  </property>
  <property fmtid="{D5CDD505-2E9C-101B-9397-08002B2CF9AE}" pid="4" name="KSOTemplateDocerSaveRecord">
    <vt:lpwstr>eyJoZGlkIjoiNjU1MzZlOTFhMmVhMDc0MTg5ZDA1OWU3ZTA2MDRkNTMiLCJ1c2VySWQiOiIxMjQ2OTg3MDMyIn0=</vt:lpwstr>
  </property>
</Properties>
</file>